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A6930" w14:textId="2A987A64" w:rsidR="00F451DF" w:rsidRDefault="00EA7F92" w:rsidP="00E87403">
      <w:pPr>
        <w:rPr>
          <w:b/>
          <w:bCs/>
          <w:u w:val="single"/>
        </w:rPr>
      </w:pPr>
      <w:r>
        <w:rPr>
          <w:b/>
          <w:bCs/>
          <w:noProof/>
          <w:u w:val="single"/>
        </w:rPr>
        <w:drawing>
          <wp:anchor distT="0" distB="0" distL="114300" distR="114300" simplePos="0" relativeHeight="251658240" behindDoc="1" locked="0" layoutInCell="1" allowOverlap="1" wp14:anchorId="7CFFD3ED" wp14:editId="037A4360">
            <wp:simplePos x="0" y="0"/>
            <wp:positionH relativeFrom="margin">
              <wp:posOffset>2343150</wp:posOffset>
            </wp:positionH>
            <wp:positionV relativeFrom="paragraph">
              <wp:posOffset>-857250</wp:posOffset>
            </wp:positionV>
            <wp:extent cx="4229100" cy="787158"/>
            <wp:effectExtent l="0" t="0" r="0" b="0"/>
            <wp:wrapNone/>
            <wp:docPr id="1" name="Picture 1" descr="C:\Users\9027224\AppData\Local\Microsoft\Windows\INetCache\Content.MSO\8B0A85C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027224\AppData\Local\Microsoft\Windows\INetCache\Content.MSO\8B0A85C2.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78715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E5F31F" w14:textId="2AA66DCC" w:rsidR="00E87403" w:rsidRPr="00E87403" w:rsidRDefault="00E87403" w:rsidP="00E87403">
      <w:pPr>
        <w:rPr>
          <w:b/>
          <w:bCs/>
          <w:u w:val="single"/>
        </w:rPr>
      </w:pPr>
      <w:r w:rsidRPr="00E87403">
        <w:rPr>
          <w:b/>
          <w:bCs/>
          <w:u w:val="single"/>
        </w:rPr>
        <w:t xml:space="preserve">Coronavirus (COVID-19): Guidance on reducing the risks from COVID19 in schools </w:t>
      </w:r>
      <w:r>
        <w:rPr>
          <w:b/>
          <w:bCs/>
          <w:u w:val="single"/>
        </w:rPr>
        <w:t>(v7)</w:t>
      </w:r>
    </w:p>
    <w:p w14:paraId="2DC21A8C" w14:textId="4DCEEDF2" w:rsidR="00F451DF" w:rsidRPr="00E87403" w:rsidRDefault="00E87403" w:rsidP="00E87403">
      <w:pPr>
        <w:rPr>
          <w:b/>
          <w:bCs/>
        </w:rPr>
      </w:pPr>
      <w:r w:rsidRPr="00E87403">
        <w:rPr>
          <w:b/>
          <w:bCs/>
        </w:rPr>
        <w:t>Non-statutory guidance to ensure a low risk and supportive environment for learning and teaching.  17 December 2021</w:t>
      </w:r>
    </w:p>
    <w:p w14:paraId="285615A2" w14:textId="0B8AF141" w:rsidR="003B3A11" w:rsidRDefault="00E87403" w:rsidP="002E013D">
      <w:hyperlink r:id="rId10" w:history="1">
        <w:r w:rsidRPr="005D5BC3">
          <w:rPr>
            <w:rStyle w:val="Hyperlink"/>
          </w:rPr>
          <w:t>https://www.gov.scot/publications/coronavirus-covid-19-guidance-on-reducing-the-risks-in-schools/pages/overview/</w:t>
        </w:r>
      </w:hyperlink>
      <w:r w:rsidR="003B3A11">
        <w:t xml:space="preserve"> </w:t>
      </w:r>
    </w:p>
    <w:p w14:paraId="2207F606" w14:textId="77777777" w:rsidR="003B3A11" w:rsidRPr="003B3A11" w:rsidRDefault="003B3A11" w:rsidP="003B3A11">
      <w:pPr>
        <w:spacing w:after="0" w:line="240" w:lineRule="auto"/>
      </w:pPr>
      <w:r w:rsidRPr="003B3A11">
        <w:t>The table below summarises the current approach for key mitigations:</w:t>
      </w:r>
    </w:p>
    <w:tbl>
      <w:tblPr>
        <w:tblW w:w="4844" w:type="pct"/>
        <w:tblInd w:w="-15" w:type="dxa"/>
        <w:tblCellMar>
          <w:top w:w="15" w:type="dxa"/>
          <w:left w:w="15" w:type="dxa"/>
          <w:bottom w:w="15" w:type="dxa"/>
          <w:right w:w="15" w:type="dxa"/>
        </w:tblCellMar>
        <w:tblLook w:val="04A0" w:firstRow="1" w:lastRow="0" w:firstColumn="1" w:lastColumn="0" w:noHBand="0" w:noVBand="1"/>
      </w:tblPr>
      <w:tblGrid>
        <w:gridCol w:w="5289"/>
        <w:gridCol w:w="3440"/>
      </w:tblGrid>
      <w:tr w:rsidR="003B3A11" w:rsidRPr="003B3A11" w14:paraId="12CB6BD2" w14:textId="77777777" w:rsidTr="003B3A11">
        <w:trPr>
          <w:trHeight w:val="250"/>
        </w:trPr>
        <w:tc>
          <w:tcPr>
            <w:tcW w:w="5289" w:type="dxa"/>
            <w:tcBorders>
              <w:top w:val="single" w:sz="6" w:space="0" w:color="000000"/>
              <w:left w:val="single" w:sz="6" w:space="0" w:color="000000"/>
              <w:bottom w:val="single" w:sz="6" w:space="0" w:color="000000"/>
              <w:right w:val="single" w:sz="6" w:space="0" w:color="000000"/>
            </w:tcBorders>
            <w:tcMar>
              <w:top w:w="150" w:type="dxa"/>
              <w:left w:w="225" w:type="dxa"/>
              <w:bottom w:w="150" w:type="dxa"/>
              <w:right w:w="75" w:type="dxa"/>
            </w:tcMar>
            <w:hideMark/>
          </w:tcPr>
          <w:p w14:paraId="26760299" w14:textId="77777777" w:rsidR="003B3A11" w:rsidRPr="003B3A11" w:rsidRDefault="003B3A11" w:rsidP="003B3A11">
            <w:pPr>
              <w:pStyle w:val="NoSpacing"/>
              <w:rPr>
                <w:b/>
                <w:bCs/>
              </w:rPr>
            </w:pPr>
            <w:r w:rsidRPr="003B3A11">
              <w:rPr>
                <w:b/>
                <w:bCs/>
              </w:rPr>
              <w:t>Mitigation</w:t>
            </w:r>
          </w:p>
        </w:tc>
        <w:tc>
          <w:tcPr>
            <w:tcW w:w="3440" w:type="dxa"/>
            <w:tcBorders>
              <w:top w:val="single" w:sz="6" w:space="0" w:color="000000"/>
              <w:left w:val="nil"/>
              <w:bottom w:val="single" w:sz="6" w:space="0" w:color="000000"/>
              <w:right w:val="single" w:sz="6" w:space="0" w:color="000000"/>
            </w:tcBorders>
            <w:tcMar>
              <w:top w:w="150" w:type="dxa"/>
              <w:left w:w="75" w:type="dxa"/>
              <w:bottom w:w="150" w:type="dxa"/>
              <w:right w:w="225" w:type="dxa"/>
            </w:tcMar>
            <w:hideMark/>
          </w:tcPr>
          <w:p w14:paraId="184E66D3" w14:textId="77777777" w:rsidR="003B3A11" w:rsidRPr="003B3A11" w:rsidRDefault="003B3A11" w:rsidP="003B3A11">
            <w:pPr>
              <w:pStyle w:val="NoSpacing"/>
              <w:rPr>
                <w:b/>
                <w:bCs/>
              </w:rPr>
            </w:pPr>
            <w:r w:rsidRPr="003B3A11">
              <w:rPr>
                <w:b/>
                <w:bCs/>
              </w:rPr>
              <w:t>Status</w:t>
            </w:r>
          </w:p>
        </w:tc>
      </w:tr>
      <w:tr w:rsidR="003B3A11" w:rsidRPr="003B3A11" w14:paraId="60F3C3E0" w14:textId="77777777" w:rsidTr="003B3A11">
        <w:trPr>
          <w:trHeight w:val="259"/>
        </w:trPr>
        <w:tc>
          <w:tcPr>
            <w:tcW w:w="5289" w:type="dxa"/>
            <w:tcBorders>
              <w:top w:val="nil"/>
              <w:left w:val="single" w:sz="6" w:space="0" w:color="000000"/>
              <w:bottom w:val="single" w:sz="6" w:space="0" w:color="000000"/>
              <w:right w:val="single" w:sz="6" w:space="0" w:color="000000"/>
            </w:tcBorders>
            <w:shd w:val="clear" w:color="auto" w:fill="F8F8F8"/>
            <w:tcMar>
              <w:top w:w="150" w:type="dxa"/>
              <w:left w:w="225" w:type="dxa"/>
              <w:bottom w:w="150" w:type="dxa"/>
              <w:right w:w="75" w:type="dxa"/>
            </w:tcMar>
            <w:hideMark/>
          </w:tcPr>
          <w:p w14:paraId="20F40F7D" w14:textId="77777777" w:rsidR="003B3A11" w:rsidRPr="003B3A11" w:rsidRDefault="003B3A11" w:rsidP="003B3A11">
            <w:pPr>
              <w:pStyle w:val="NoSpacing"/>
            </w:pPr>
            <w:r w:rsidRPr="003B3A11">
              <w:t>Risk assessment</w:t>
            </w:r>
          </w:p>
        </w:tc>
        <w:tc>
          <w:tcPr>
            <w:tcW w:w="3440" w:type="dxa"/>
            <w:tcBorders>
              <w:top w:val="nil"/>
              <w:left w:val="nil"/>
              <w:bottom w:val="single" w:sz="6" w:space="0" w:color="000000"/>
              <w:right w:val="single" w:sz="6" w:space="0" w:color="000000"/>
            </w:tcBorders>
            <w:shd w:val="clear" w:color="auto" w:fill="F8F8F8"/>
            <w:tcMar>
              <w:top w:w="150" w:type="dxa"/>
              <w:left w:w="75" w:type="dxa"/>
              <w:bottom w:w="150" w:type="dxa"/>
              <w:right w:w="225" w:type="dxa"/>
            </w:tcMar>
            <w:hideMark/>
          </w:tcPr>
          <w:p w14:paraId="4E02EABA" w14:textId="77777777" w:rsidR="003B3A11" w:rsidRPr="003B3A11" w:rsidRDefault="003B3A11" w:rsidP="003B3A11">
            <w:pPr>
              <w:pStyle w:val="NoSpacing"/>
            </w:pPr>
            <w:r w:rsidRPr="003B3A11">
              <w:t>Retain</w:t>
            </w:r>
          </w:p>
        </w:tc>
      </w:tr>
      <w:tr w:rsidR="003B3A11" w:rsidRPr="003B3A11" w14:paraId="7D945390" w14:textId="77777777" w:rsidTr="003B3A11">
        <w:trPr>
          <w:trHeight w:val="259"/>
        </w:trPr>
        <w:tc>
          <w:tcPr>
            <w:tcW w:w="5289" w:type="dxa"/>
            <w:tcBorders>
              <w:top w:val="nil"/>
              <w:left w:val="single" w:sz="6" w:space="0" w:color="000000"/>
              <w:bottom w:val="single" w:sz="6" w:space="0" w:color="000000"/>
              <w:right w:val="single" w:sz="6" w:space="0" w:color="000000"/>
            </w:tcBorders>
            <w:tcMar>
              <w:top w:w="150" w:type="dxa"/>
              <w:left w:w="225" w:type="dxa"/>
              <w:bottom w:w="150" w:type="dxa"/>
              <w:right w:w="75" w:type="dxa"/>
            </w:tcMar>
            <w:hideMark/>
          </w:tcPr>
          <w:p w14:paraId="02AE4E35" w14:textId="77777777" w:rsidR="003B3A11" w:rsidRPr="003B3A11" w:rsidRDefault="003B3A11" w:rsidP="003B3A11">
            <w:pPr>
              <w:pStyle w:val="NoSpacing"/>
            </w:pPr>
            <w:r w:rsidRPr="003B3A11">
              <w:t>Encouragement of vaccination</w:t>
            </w:r>
          </w:p>
        </w:tc>
        <w:tc>
          <w:tcPr>
            <w:tcW w:w="3440" w:type="dxa"/>
            <w:tcBorders>
              <w:top w:val="nil"/>
              <w:left w:val="nil"/>
              <w:bottom w:val="single" w:sz="6" w:space="0" w:color="000000"/>
              <w:right w:val="single" w:sz="6" w:space="0" w:color="000000"/>
            </w:tcBorders>
            <w:tcMar>
              <w:top w:w="150" w:type="dxa"/>
              <w:left w:w="75" w:type="dxa"/>
              <w:bottom w:w="150" w:type="dxa"/>
              <w:right w:w="225" w:type="dxa"/>
            </w:tcMar>
            <w:hideMark/>
          </w:tcPr>
          <w:p w14:paraId="73FAF4F5" w14:textId="77777777" w:rsidR="003B3A11" w:rsidRPr="003B3A11" w:rsidRDefault="003B3A11" w:rsidP="003B3A11">
            <w:pPr>
              <w:pStyle w:val="NoSpacing"/>
            </w:pPr>
            <w:r w:rsidRPr="003B3A11">
              <w:t>Retain</w:t>
            </w:r>
          </w:p>
        </w:tc>
      </w:tr>
      <w:tr w:rsidR="003B3A11" w:rsidRPr="003B3A11" w14:paraId="480F5342" w14:textId="77777777" w:rsidTr="003B3A11">
        <w:trPr>
          <w:trHeight w:val="259"/>
        </w:trPr>
        <w:tc>
          <w:tcPr>
            <w:tcW w:w="5289" w:type="dxa"/>
            <w:tcBorders>
              <w:top w:val="nil"/>
              <w:left w:val="single" w:sz="6" w:space="0" w:color="000000"/>
              <w:bottom w:val="single" w:sz="6" w:space="0" w:color="000000"/>
              <w:right w:val="single" w:sz="6" w:space="0" w:color="000000"/>
            </w:tcBorders>
            <w:shd w:val="clear" w:color="auto" w:fill="F8F8F8"/>
            <w:tcMar>
              <w:top w:w="150" w:type="dxa"/>
              <w:left w:w="225" w:type="dxa"/>
              <w:bottom w:w="150" w:type="dxa"/>
              <w:right w:w="75" w:type="dxa"/>
            </w:tcMar>
            <w:hideMark/>
          </w:tcPr>
          <w:p w14:paraId="3E56B61F" w14:textId="77777777" w:rsidR="003B3A11" w:rsidRPr="003B3A11" w:rsidRDefault="003B3A11" w:rsidP="003B3A11">
            <w:pPr>
              <w:pStyle w:val="NoSpacing"/>
            </w:pPr>
            <w:r w:rsidRPr="003B3A11">
              <w:t>Environmental cleaning</w:t>
            </w:r>
          </w:p>
        </w:tc>
        <w:tc>
          <w:tcPr>
            <w:tcW w:w="3440" w:type="dxa"/>
            <w:tcBorders>
              <w:top w:val="nil"/>
              <w:left w:val="nil"/>
              <w:bottom w:val="single" w:sz="6" w:space="0" w:color="000000"/>
              <w:right w:val="single" w:sz="6" w:space="0" w:color="000000"/>
            </w:tcBorders>
            <w:shd w:val="clear" w:color="auto" w:fill="F8F8F8"/>
            <w:tcMar>
              <w:top w:w="150" w:type="dxa"/>
              <w:left w:w="75" w:type="dxa"/>
              <w:bottom w:w="150" w:type="dxa"/>
              <w:right w:w="225" w:type="dxa"/>
            </w:tcMar>
            <w:hideMark/>
          </w:tcPr>
          <w:p w14:paraId="1F959203" w14:textId="77777777" w:rsidR="003B3A11" w:rsidRPr="003B3A11" w:rsidRDefault="003B3A11" w:rsidP="003B3A11">
            <w:pPr>
              <w:pStyle w:val="NoSpacing"/>
            </w:pPr>
            <w:r w:rsidRPr="003B3A11">
              <w:t>Retain</w:t>
            </w:r>
          </w:p>
        </w:tc>
      </w:tr>
      <w:tr w:rsidR="003B3A11" w:rsidRPr="003B3A11" w14:paraId="66F28450" w14:textId="77777777" w:rsidTr="003B3A11">
        <w:trPr>
          <w:trHeight w:val="259"/>
        </w:trPr>
        <w:tc>
          <w:tcPr>
            <w:tcW w:w="5289" w:type="dxa"/>
            <w:tcBorders>
              <w:top w:val="nil"/>
              <w:left w:val="single" w:sz="6" w:space="0" w:color="000000"/>
              <w:bottom w:val="single" w:sz="6" w:space="0" w:color="000000"/>
              <w:right w:val="single" w:sz="6" w:space="0" w:color="000000"/>
            </w:tcBorders>
            <w:tcMar>
              <w:top w:w="150" w:type="dxa"/>
              <w:left w:w="225" w:type="dxa"/>
              <w:bottom w:w="150" w:type="dxa"/>
              <w:right w:w="75" w:type="dxa"/>
            </w:tcMar>
            <w:hideMark/>
          </w:tcPr>
          <w:p w14:paraId="0EF9E079" w14:textId="77777777" w:rsidR="003B3A11" w:rsidRPr="003B3A11" w:rsidRDefault="003B3A11" w:rsidP="003B3A11">
            <w:pPr>
              <w:pStyle w:val="NoSpacing"/>
            </w:pPr>
            <w:r w:rsidRPr="003B3A11">
              <w:t>Hand and respiratory hygiene</w:t>
            </w:r>
          </w:p>
        </w:tc>
        <w:tc>
          <w:tcPr>
            <w:tcW w:w="3440" w:type="dxa"/>
            <w:tcBorders>
              <w:top w:val="nil"/>
              <w:left w:val="nil"/>
              <w:bottom w:val="single" w:sz="6" w:space="0" w:color="000000"/>
              <w:right w:val="single" w:sz="6" w:space="0" w:color="000000"/>
            </w:tcBorders>
            <w:tcMar>
              <w:top w:w="150" w:type="dxa"/>
              <w:left w:w="75" w:type="dxa"/>
              <w:bottom w:w="150" w:type="dxa"/>
              <w:right w:w="225" w:type="dxa"/>
            </w:tcMar>
            <w:hideMark/>
          </w:tcPr>
          <w:p w14:paraId="23253F1A" w14:textId="77777777" w:rsidR="003B3A11" w:rsidRPr="003B3A11" w:rsidRDefault="003B3A11" w:rsidP="003B3A11">
            <w:pPr>
              <w:pStyle w:val="NoSpacing"/>
            </w:pPr>
            <w:r w:rsidRPr="003B3A11">
              <w:t>Retain</w:t>
            </w:r>
          </w:p>
        </w:tc>
      </w:tr>
      <w:tr w:rsidR="003B3A11" w:rsidRPr="003B3A11" w14:paraId="6EA11DEB" w14:textId="77777777" w:rsidTr="003B3A11">
        <w:trPr>
          <w:trHeight w:val="259"/>
        </w:trPr>
        <w:tc>
          <w:tcPr>
            <w:tcW w:w="5289" w:type="dxa"/>
            <w:tcBorders>
              <w:top w:val="nil"/>
              <w:left w:val="single" w:sz="6" w:space="0" w:color="000000"/>
              <w:bottom w:val="single" w:sz="6" w:space="0" w:color="000000"/>
              <w:right w:val="single" w:sz="6" w:space="0" w:color="000000"/>
            </w:tcBorders>
            <w:shd w:val="clear" w:color="auto" w:fill="F8F8F8"/>
            <w:tcMar>
              <w:top w:w="150" w:type="dxa"/>
              <w:left w:w="225" w:type="dxa"/>
              <w:bottom w:w="150" w:type="dxa"/>
              <w:right w:w="75" w:type="dxa"/>
            </w:tcMar>
            <w:hideMark/>
          </w:tcPr>
          <w:p w14:paraId="00CACFED" w14:textId="77777777" w:rsidR="003B3A11" w:rsidRPr="003B3A11" w:rsidRDefault="003B3A11" w:rsidP="003B3A11">
            <w:pPr>
              <w:pStyle w:val="NoSpacing"/>
            </w:pPr>
            <w:r w:rsidRPr="003B3A11">
              <w:t>PPE in specific circumstances</w:t>
            </w:r>
          </w:p>
        </w:tc>
        <w:tc>
          <w:tcPr>
            <w:tcW w:w="3440" w:type="dxa"/>
            <w:tcBorders>
              <w:top w:val="nil"/>
              <w:left w:val="nil"/>
              <w:bottom w:val="single" w:sz="6" w:space="0" w:color="000000"/>
              <w:right w:val="single" w:sz="6" w:space="0" w:color="000000"/>
            </w:tcBorders>
            <w:shd w:val="clear" w:color="auto" w:fill="F8F8F8"/>
            <w:tcMar>
              <w:top w:w="150" w:type="dxa"/>
              <w:left w:w="75" w:type="dxa"/>
              <w:bottom w:w="150" w:type="dxa"/>
              <w:right w:w="225" w:type="dxa"/>
            </w:tcMar>
            <w:hideMark/>
          </w:tcPr>
          <w:p w14:paraId="7F9768EC" w14:textId="77777777" w:rsidR="003B3A11" w:rsidRPr="003B3A11" w:rsidRDefault="003B3A11" w:rsidP="003B3A11">
            <w:pPr>
              <w:pStyle w:val="NoSpacing"/>
            </w:pPr>
            <w:r w:rsidRPr="003B3A11">
              <w:t>Retain</w:t>
            </w:r>
          </w:p>
        </w:tc>
      </w:tr>
      <w:tr w:rsidR="003B3A11" w:rsidRPr="003B3A11" w14:paraId="5F3F869F" w14:textId="77777777" w:rsidTr="003B3A11">
        <w:trPr>
          <w:trHeight w:val="250"/>
        </w:trPr>
        <w:tc>
          <w:tcPr>
            <w:tcW w:w="5289" w:type="dxa"/>
            <w:tcBorders>
              <w:top w:val="nil"/>
              <w:left w:val="single" w:sz="6" w:space="0" w:color="000000"/>
              <w:bottom w:val="single" w:sz="6" w:space="0" w:color="000000"/>
              <w:right w:val="single" w:sz="6" w:space="0" w:color="000000"/>
            </w:tcBorders>
            <w:tcMar>
              <w:top w:w="150" w:type="dxa"/>
              <w:left w:w="225" w:type="dxa"/>
              <w:bottom w:w="150" w:type="dxa"/>
              <w:right w:w="75" w:type="dxa"/>
            </w:tcMar>
            <w:hideMark/>
          </w:tcPr>
          <w:p w14:paraId="3605B33D" w14:textId="77777777" w:rsidR="003B3A11" w:rsidRPr="003B3A11" w:rsidRDefault="003B3A11" w:rsidP="003B3A11">
            <w:pPr>
              <w:pStyle w:val="NoSpacing"/>
            </w:pPr>
            <w:r w:rsidRPr="003B3A11">
              <w:t>Face coverings in communal areas</w:t>
            </w:r>
          </w:p>
        </w:tc>
        <w:tc>
          <w:tcPr>
            <w:tcW w:w="3440" w:type="dxa"/>
            <w:tcBorders>
              <w:top w:val="nil"/>
              <w:left w:val="nil"/>
              <w:bottom w:val="single" w:sz="6" w:space="0" w:color="000000"/>
              <w:right w:val="single" w:sz="6" w:space="0" w:color="000000"/>
            </w:tcBorders>
            <w:tcMar>
              <w:top w:w="150" w:type="dxa"/>
              <w:left w:w="75" w:type="dxa"/>
              <w:bottom w:w="150" w:type="dxa"/>
              <w:right w:w="225" w:type="dxa"/>
            </w:tcMar>
            <w:hideMark/>
          </w:tcPr>
          <w:p w14:paraId="13B9F02C" w14:textId="77777777" w:rsidR="003B3A11" w:rsidRPr="003B3A11" w:rsidRDefault="003B3A11" w:rsidP="003B3A11">
            <w:pPr>
              <w:pStyle w:val="NoSpacing"/>
            </w:pPr>
            <w:r w:rsidRPr="003B3A11">
              <w:t>Retain</w:t>
            </w:r>
          </w:p>
        </w:tc>
      </w:tr>
      <w:tr w:rsidR="003B3A11" w:rsidRPr="003B3A11" w14:paraId="008B831F" w14:textId="77777777" w:rsidTr="003B3A11">
        <w:trPr>
          <w:trHeight w:val="259"/>
        </w:trPr>
        <w:tc>
          <w:tcPr>
            <w:tcW w:w="5289" w:type="dxa"/>
            <w:tcBorders>
              <w:top w:val="nil"/>
              <w:left w:val="single" w:sz="6" w:space="0" w:color="000000"/>
              <w:bottom w:val="single" w:sz="6" w:space="0" w:color="000000"/>
              <w:right w:val="single" w:sz="6" w:space="0" w:color="000000"/>
            </w:tcBorders>
            <w:shd w:val="clear" w:color="auto" w:fill="F8F8F8"/>
            <w:tcMar>
              <w:top w:w="150" w:type="dxa"/>
              <w:left w:w="225" w:type="dxa"/>
              <w:bottom w:w="150" w:type="dxa"/>
              <w:right w:w="75" w:type="dxa"/>
            </w:tcMar>
            <w:hideMark/>
          </w:tcPr>
          <w:p w14:paraId="231C7C46" w14:textId="77777777" w:rsidR="003B3A11" w:rsidRPr="003B3A11" w:rsidRDefault="003B3A11" w:rsidP="003B3A11">
            <w:pPr>
              <w:pStyle w:val="NoSpacing"/>
            </w:pPr>
            <w:r w:rsidRPr="003B3A11">
              <w:t>Face coverings in secondary classrooms</w:t>
            </w:r>
          </w:p>
        </w:tc>
        <w:tc>
          <w:tcPr>
            <w:tcW w:w="3440" w:type="dxa"/>
            <w:tcBorders>
              <w:top w:val="nil"/>
              <w:left w:val="nil"/>
              <w:bottom w:val="single" w:sz="6" w:space="0" w:color="000000"/>
              <w:right w:val="single" w:sz="6" w:space="0" w:color="000000"/>
            </w:tcBorders>
            <w:shd w:val="clear" w:color="auto" w:fill="F8F8F8"/>
            <w:tcMar>
              <w:top w:w="150" w:type="dxa"/>
              <w:left w:w="75" w:type="dxa"/>
              <w:bottom w:w="150" w:type="dxa"/>
              <w:right w:w="225" w:type="dxa"/>
            </w:tcMar>
            <w:hideMark/>
          </w:tcPr>
          <w:p w14:paraId="16D83C3C" w14:textId="77777777" w:rsidR="003B3A11" w:rsidRPr="003B3A11" w:rsidRDefault="003B3A11" w:rsidP="003B3A11">
            <w:pPr>
              <w:pStyle w:val="NoSpacing"/>
            </w:pPr>
            <w:r w:rsidRPr="003B3A11">
              <w:t>Retain</w:t>
            </w:r>
          </w:p>
        </w:tc>
      </w:tr>
      <w:tr w:rsidR="003B3A11" w:rsidRPr="003B3A11" w14:paraId="5CB7D948" w14:textId="77777777" w:rsidTr="003B3A11">
        <w:trPr>
          <w:trHeight w:val="259"/>
        </w:trPr>
        <w:tc>
          <w:tcPr>
            <w:tcW w:w="5289" w:type="dxa"/>
            <w:tcBorders>
              <w:top w:val="nil"/>
              <w:left w:val="single" w:sz="6" w:space="0" w:color="000000"/>
              <w:bottom w:val="single" w:sz="6" w:space="0" w:color="000000"/>
              <w:right w:val="single" w:sz="6" w:space="0" w:color="000000"/>
            </w:tcBorders>
            <w:tcMar>
              <w:top w:w="150" w:type="dxa"/>
              <w:left w:w="225" w:type="dxa"/>
              <w:bottom w:w="150" w:type="dxa"/>
              <w:right w:w="75" w:type="dxa"/>
            </w:tcMar>
            <w:hideMark/>
          </w:tcPr>
          <w:p w14:paraId="0331EE05" w14:textId="77777777" w:rsidR="003B3A11" w:rsidRPr="003B3A11" w:rsidRDefault="003B3A11" w:rsidP="003B3A11">
            <w:pPr>
              <w:pStyle w:val="NoSpacing"/>
            </w:pPr>
            <w:r w:rsidRPr="003B3A11">
              <w:t>Physical distancing for adults</w:t>
            </w:r>
          </w:p>
        </w:tc>
        <w:tc>
          <w:tcPr>
            <w:tcW w:w="3440" w:type="dxa"/>
            <w:tcBorders>
              <w:top w:val="nil"/>
              <w:left w:val="nil"/>
              <w:bottom w:val="single" w:sz="6" w:space="0" w:color="000000"/>
              <w:right w:val="single" w:sz="6" w:space="0" w:color="000000"/>
            </w:tcBorders>
            <w:tcMar>
              <w:top w:w="150" w:type="dxa"/>
              <w:left w:w="75" w:type="dxa"/>
              <w:bottom w:w="150" w:type="dxa"/>
              <w:right w:w="225" w:type="dxa"/>
            </w:tcMar>
            <w:hideMark/>
          </w:tcPr>
          <w:p w14:paraId="2D84DA4F" w14:textId="77777777" w:rsidR="003B3A11" w:rsidRPr="003B3A11" w:rsidRDefault="003B3A11" w:rsidP="003B3A11">
            <w:pPr>
              <w:pStyle w:val="NoSpacing"/>
            </w:pPr>
            <w:r w:rsidRPr="003B3A11">
              <w:t>Retain</w:t>
            </w:r>
          </w:p>
        </w:tc>
      </w:tr>
      <w:tr w:rsidR="003B3A11" w:rsidRPr="003B3A11" w14:paraId="68BB5AE2" w14:textId="77777777" w:rsidTr="003B3A11">
        <w:trPr>
          <w:trHeight w:val="259"/>
        </w:trPr>
        <w:tc>
          <w:tcPr>
            <w:tcW w:w="5289" w:type="dxa"/>
            <w:tcBorders>
              <w:top w:val="nil"/>
              <w:left w:val="single" w:sz="6" w:space="0" w:color="000000"/>
              <w:bottom w:val="single" w:sz="6" w:space="0" w:color="000000"/>
              <w:right w:val="single" w:sz="6" w:space="0" w:color="000000"/>
            </w:tcBorders>
            <w:shd w:val="clear" w:color="auto" w:fill="F8F8F8"/>
            <w:tcMar>
              <w:top w:w="150" w:type="dxa"/>
              <w:left w:w="225" w:type="dxa"/>
              <w:bottom w:w="150" w:type="dxa"/>
              <w:right w:w="75" w:type="dxa"/>
            </w:tcMar>
            <w:hideMark/>
          </w:tcPr>
          <w:p w14:paraId="141782C7" w14:textId="77777777" w:rsidR="003B3A11" w:rsidRPr="003B3A11" w:rsidRDefault="003B3A11" w:rsidP="003B3A11">
            <w:pPr>
              <w:pStyle w:val="NoSpacing"/>
            </w:pPr>
            <w:r w:rsidRPr="003B3A11">
              <w:t>One-way systems</w:t>
            </w:r>
          </w:p>
        </w:tc>
        <w:tc>
          <w:tcPr>
            <w:tcW w:w="3440" w:type="dxa"/>
            <w:tcBorders>
              <w:top w:val="nil"/>
              <w:left w:val="nil"/>
              <w:bottom w:val="single" w:sz="6" w:space="0" w:color="000000"/>
              <w:right w:val="single" w:sz="6" w:space="0" w:color="000000"/>
            </w:tcBorders>
            <w:shd w:val="clear" w:color="auto" w:fill="F8F8F8"/>
            <w:tcMar>
              <w:top w:w="150" w:type="dxa"/>
              <w:left w:w="75" w:type="dxa"/>
              <w:bottom w:w="150" w:type="dxa"/>
              <w:right w:w="225" w:type="dxa"/>
            </w:tcMar>
            <w:hideMark/>
          </w:tcPr>
          <w:p w14:paraId="6500BF64" w14:textId="77777777" w:rsidR="003B3A11" w:rsidRPr="003B3A11" w:rsidRDefault="003B3A11" w:rsidP="003B3A11">
            <w:pPr>
              <w:pStyle w:val="NoSpacing"/>
            </w:pPr>
            <w:r w:rsidRPr="003B3A11">
              <w:t>Retain</w:t>
            </w:r>
          </w:p>
        </w:tc>
      </w:tr>
      <w:tr w:rsidR="003B3A11" w:rsidRPr="003B3A11" w14:paraId="1514ECC3" w14:textId="77777777" w:rsidTr="003B3A11">
        <w:trPr>
          <w:trHeight w:val="259"/>
        </w:trPr>
        <w:tc>
          <w:tcPr>
            <w:tcW w:w="5289" w:type="dxa"/>
            <w:tcBorders>
              <w:top w:val="nil"/>
              <w:left w:val="single" w:sz="6" w:space="0" w:color="000000"/>
              <w:bottom w:val="single" w:sz="6" w:space="0" w:color="000000"/>
              <w:right w:val="single" w:sz="6" w:space="0" w:color="000000"/>
            </w:tcBorders>
            <w:tcMar>
              <w:top w:w="150" w:type="dxa"/>
              <w:left w:w="225" w:type="dxa"/>
              <w:bottom w:w="150" w:type="dxa"/>
              <w:right w:w="75" w:type="dxa"/>
            </w:tcMar>
            <w:hideMark/>
          </w:tcPr>
          <w:p w14:paraId="769A7E18" w14:textId="77777777" w:rsidR="003B3A11" w:rsidRPr="003B3A11" w:rsidRDefault="003B3A11" w:rsidP="003B3A11">
            <w:pPr>
              <w:pStyle w:val="NoSpacing"/>
            </w:pPr>
            <w:r w:rsidRPr="003B3A11">
              <w:t>Staggered drop-off and pick-up</w:t>
            </w:r>
          </w:p>
        </w:tc>
        <w:tc>
          <w:tcPr>
            <w:tcW w:w="3440" w:type="dxa"/>
            <w:tcBorders>
              <w:top w:val="nil"/>
              <w:left w:val="nil"/>
              <w:bottom w:val="single" w:sz="6" w:space="0" w:color="000000"/>
              <w:right w:val="single" w:sz="6" w:space="0" w:color="000000"/>
            </w:tcBorders>
            <w:tcMar>
              <w:top w:w="150" w:type="dxa"/>
              <w:left w:w="75" w:type="dxa"/>
              <w:bottom w:w="150" w:type="dxa"/>
              <w:right w:w="225" w:type="dxa"/>
            </w:tcMar>
            <w:hideMark/>
          </w:tcPr>
          <w:p w14:paraId="1FE45170" w14:textId="77777777" w:rsidR="003B3A11" w:rsidRPr="003B3A11" w:rsidRDefault="003B3A11" w:rsidP="003B3A11">
            <w:pPr>
              <w:pStyle w:val="NoSpacing"/>
            </w:pPr>
            <w:r w:rsidRPr="003B3A11">
              <w:t>Retain</w:t>
            </w:r>
          </w:p>
        </w:tc>
      </w:tr>
      <w:tr w:rsidR="003B3A11" w:rsidRPr="003B3A11" w14:paraId="59ABA327" w14:textId="77777777" w:rsidTr="003B3A11">
        <w:trPr>
          <w:trHeight w:val="259"/>
        </w:trPr>
        <w:tc>
          <w:tcPr>
            <w:tcW w:w="5289" w:type="dxa"/>
            <w:tcBorders>
              <w:top w:val="nil"/>
              <w:left w:val="single" w:sz="6" w:space="0" w:color="000000"/>
              <w:bottom w:val="single" w:sz="6" w:space="0" w:color="000000"/>
              <w:right w:val="single" w:sz="6" w:space="0" w:color="000000"/>
            </w:tcBorders>
            <w:shd w:val="clear" w:color="auto" w:fill="F8F8F8"/>
            <w:tcMar>
              <w:top w:w="150" w:type="dxa"/>
              <w:left w:w="225" w:type="dxa"/>
              <w:bottom w:w="150" w:type="dxa"/>
              <w:right w:w="75" w:type="dxa"/>
            </w:tcMar>
            <w:hideMark/>
          </w:tcPr>
          <w:p w14:paraId="5ECBBBB8" w14:textId="77777777" w:rsidR="003B3A11" w:rsidRPr="003B3A11" w:rsidRDefault="003B3A11" w:rsidP="003B3A11">
            <w:pPr>
              <w:pStyle w:val="NoSpacing"/>
            </w:pPr>
            <w:r w:rsidRPr="003B3A11">
              <w:t>Staggered start and stop times/ break and lunch times</w:t>
            </w:r>
          </w:p>
        </w:tc>
        <w:tc>
          <w:tcPr>
            <w:tcW w:w="3440" w:type="dxa"/>
            <w:tcBorders>
              <w:top w:val="nil"/>
              <w:left w:val="nil"/>
              <w:bottom w:val="single" w:sz="6" w:space="0" w:color="000000"/>
              <w:right w:val="single" w:sz="6" w:space="0" w:color="000000"/>
            </w:tcBorders>
            <w:shd w:val="clear" w:color="auto" w:fill="F8F8F8"/>
            <w:tcMar>
              <w:top w:w="150" w:type="dxa"/>
              <w:left w:w="75" w:type="dxa"/>
              <w:bottom w:w="150" w:type="dxa"/>
              <w:right w:w="225" w:type="dxa"/>
            </w:tcMar>
            <w:hideMark/>
          </w:tcPr>
          <w:p w14:paraId="48ED7B9A" w14:textId="77777777" w:rsidR="003B3A11" w:rsidRPr="003B3A11" w:rsidRDefault="003B3A11" w:rsidP="003B3A11">
            <w:pPr>
              <w:pStyle w:val="NoSpacing"/>
            </w:pPr>
            <w:r w:rsidRPr="003B3A11">
              <w:t>Retain</w:t>
            </w:r>
          </w:p>
        </w:tc>
      </w:tr>
      <w:tr w:rsidR="003B3A11" w:rsidRPr="003B3A11" w14:paraId="6705F4C2" w14:textId="77777777" w:rsidTr="003B3A11">
        <w:trPr>
          <w:trHeight w:val="259"/>
        </w:trPr>
        <w:tc>
          <w:tcPr>
            <w:tcW w:w="5289" w:type="dxa"/>
            <w:tcBorders>
              <w:top w:val="nil"/>
              <w:left w:val="single" w:sz="6" w:space="0" w:color="000000"/>
              <w:bottom w:val="single" w:sz="6" w:space="0" w:color="000000"/>
              <w:right w:val="single" w:sz="6" w:space="0" w:color="000000"/>
            </w:tcBorders>
            <w:tcMar>
              <w:top w:w="150" w:type="dxa"/>
              <w:left w:w="225" w:type="dxa"/>
              <w:bottom w:w="150" w:type="dxa"/>
              <w:right w:w="75" w:type="dxa"/>
            </w:tcMar>
            <w:hideMark/>
          </w:tcPr>
          <w:p w14:paraId="289EF1B3" w14:textId="77777777" w:rsidR="003B3A11" w:rsidRPr="003B3A11" w:rsidRDefault="003B3A11" w:rsidP="003B3A11">
            <w:pPr>
              <w:pStyle w:val="NoSpacing"/>
            </w:pPr>
            <w:r w:rsidRPr="003B3A11">
              <w:t>Restrictions on assemblies</w:t>
            </w:r>
          </w:p>
        </w:tc>
        <w:tc>
          <w:tcPr>
            <w:tcW w:w="3440" w:type="dxa"/>
            <w:tcBorders>
              <w:top w:val="nil"/>
              <w:left w:val="nil"/>
              <w:bottom w:val="single" w:sz="6" w:space="0" w:color="000000"/>
              <w:right w:val="single" w:sz="6" w:space="0" w:color="000000"/>
            </w:tcBorders>
            <w:tcMar>
              <w:top w:w="150" w:type="dxa"/>
              <w:left w:w="75" w:type="dxa"/>
              <w:bottom w:w="150" w:type="dxa"/>
              <w:right w:w="225" w:type="dxa"/>
            </w:tcMar>
            <w:hideMark/>
          </w:tcPr>
          <w:p w14:paraId="74AB3465" w14:textId="77777777" w:rsidR="003B3A11" w:rsidRPr="003B3A11" w:rsidRDefault="003B3A11" w:rsidP="003B3A11">
            <w:pPr>
              <w:pStyle w:val="NoSpacing"/>
            </w:pPr>
            <w:r w:rsidRPr="003B3A11">
              <w:t>Retain</w:t>
            </w:r>
          </w:p>
        </w:tc>
      </w:tr>
      <w:tr w:rsidR="003B3A11" w:rsidRPr="003B3A11" w14:paraId="498FDEE5" w14:textId="77777777" w:rsidTr="003B3A11">
        <w:trPr>
          <w:trHeight w:val="250"/>
        </w:trPr>
        <w:tc>
          <w:tcPr>
            <w:tcW w:w="5289" w:type="dxa"/>
            <w:tcBorders>
              <w:top w:val="nil"/>
              <w:left w:val="single" w:sz="6" w:space="0" w:color="000000"/>
              <w:bottom w:val="single" w:sz="6" w:space="0" w:color="000000"/>
              <w:right w:val="single" w:sz="6" w:space="0" w:color="000000"/>
            </w:tcBorders>
            <w:shd w:val="clear" w:color="auto" w:fill="F8F8F8"/>
            <w:tcMar>
              <w:top w:w="150" w:type="dxa"/>
              <w:left w:w="225" w:type="dxa"/>
              <w:bottom w:w="150" w:type="dxa"/>
              <w:right w:w="75" w:type="dxa"/>
            </w:tcMar>
            <w:hideMark/>
          </w:tcPr>
          <w:p w14:paraId="6A8BB03C" w14:textId="77777777" w:rsidR="003B3A11" w:rsidRPr="003B3A11" w:rsidRDefault="003B3A11" w:rsidP="003B3A11">
            <w:pPr>
              <w:pStyle w:val="NoSpacing"/>
            </w:pPr>
            <w:r w:rsidRPr="003B3A11">
              <w:t>Support for people in the highest risk groups</w:t>
            </w:r>
          </w:p>
        </w:tc>
        <w:tc>
          <w:tcPr>
            <w:tcW w:w="3440" w:type="dxa"/>
            <w:tcBorders>
              <w:top w:val="nil"/>
              <w:left w:val="nil"/>
              <w:bottom w:val="single" w:sz="6" w:space="0" w:color="000000"/>
              <w:right w:val="single" w:sz="6" w:space="0" w:color="000000"/>
            </w:tcBorders>
            <w:shd w:val="clear" w:color="auto" w:fill="F8F8F8"/>
            <w:tcMar>
              <w:top w:w="150" w:type="dxa"/>
              <w:left w:w="75" w:type="dxa"/>
              <w:bottom w:w="150" w:type="dxa"/>
              <w:right w:w="225" w:type="dxa"/>
            </w:tcMar>
            <w:hideMark/>
          </w:tcPr>
          <w:p w14:paraId="0BF4CE02" w14:textId="77777777" w:rsidR="003B3A11" w:rsidRPr="003B3A11" w:rsidRDefault="003B3A11" w:rsidP="003B3A11">
            <w:pPr>
              <w:pStyle w:val="NoSpacing"/>
            </w:pPr>
            <w:r w:rsidRPr="003B3A11">
              <w:t>Retain</w:t>
            </w:r>
          </w:p>
        </w:tc>
      </w:tr>
      <w:tr w:rsidR="003B3A11" w:rsidRPr="003B3A11" w14:paraId="20C56224" w14:textId="77777777" w:rsidTr="003B3A11">
        <w:trPr>
          <w:trHeight w:val="259"/>
        </w:trPr>
        <w:tc>
          <w:tcPr>
            <w:tcW w:w="5289" w:type="dxa"/>
            <w:tcBorders>
              <w:top w:val="nil"/>
              <w:left w:val="single" w:sz="6" w:space="0" w:color="000000"/>
              <w:bottom w:val="single" w:sz="6" w:space="0" w:color="000000"/>
              <w:right w:val="single" w:sz="6" w:space="0" w:color="000000"/>
            </w:tcBorders>
            <w:tcMar>
              <w:top w:w="150" w:type="dxa"/>
              <w:left w:w="225" w:type="dxa"/>
              <w:bottom w:w="150" w:type="dxa"/>
              <w:right w:w="75" w:type="dxa"/>
            </w:tcMar>
            <w:hideMark/>
          </w:tcPr>
          <w:p w14:paraId="2F66CB90" w14:textId="77777777" w:rsidR="003B3A11" w:rsidRPr="003B3A11" w:rsidRDefault="003B3A11" w:rsidP="003B3A11">
            <w:pPr>
              <w:pStyle w:val="NoSpacing"/>
            </w:pPr>
            <w:r w:rsidRPr="003B3A11">
              <w:t>Support for pregnant staff</w:t>
            </w:r>
          </w:p>
        </w:tc>
        <w:tc>
          <w:tcPr>
            <w:tcW w:w="3440" w:type="dxa"/>
            <w:tcBorders>
              <w:top w:val="nil"/>
              <w:left w:val="nil"/>
              <w:bottom w:val="single" w:sz="6" w:space="0" w:color="000000"/>
              <w:right w:val="single" w:sz="6" w:space="0" w:color="000000"/>
            </w:tcBorders>
            <w:tcMar>
              <w:top w:w="150" w:type="dxa"/>
              <w:left w:w="75" w:type="dxa"/>
              <w:bottom w:w="150" w:type="dxa"/>
              <w:right w:w="225" w:type="dxa"/>
            </w:tcMar>
            <w:hideMark/>
          </w:tcPr>
          <w:p w14:paraId="159C1B06" w14:textId="77777777" w:rsidR="003B3A11" w:rsidRPr="003B3A11" w:rsidRDefault="003B3A11" w:rsidP="003B3A11">
            <w:pPr>
              <w:pStyle w:val="NoSpacing"/>
            </w:pPr>
            <w:r w:rsidRPr="003B3A11">
              <w:t xml:space="preserve">Retain </w:t>
            </w:r>
          </w:p>
        </w:tc>
      </w:tr>
      <w:tr w:rsidR="003B3A11" w:rsidRPr="003B3A11" w14:paraId="3754453E" w14:textId="77777777" w:rsidTr="003B3A11">
        <w:trPr>
          <w:trHeight w:val="259"/>
        </w:trPr>
        <w:tc>
          <w:tcPr>
            <w:tcW w:w="5289" w:type="dxa"/>
            <w:tcBorders>
              <w:top w:val="nil"/>
              <w:left w:val="single" w:sz="6" w:space="0" w:color="000000"/>
              <w:bottom w:val="single" w:sz="6" w:space="0" w:color="000000"/>
              <w:right w:val="single" w:sz="6" w:space="0" w:color="000000"/>
            </w:tcBorders>
            <w:shd w:val="clear" w:color="auto" w:fill="F8F8F8"/>
            <w:tcMar>
              <w:top w:w="150" w:type="dxa"/>
              <w:left w:w="225" w:type="dxa"/>
              <w:bottom w:w="150" w:type="dxa"/>
              <w:right w:w="75" w:type="dxa"/>
            </w:tcMar>
            <w:hideMark/>
          </w:tcPr>
          <w:p w14:paraId="4F52B1F4" w14:textId="77777777" w:rsidR="003B3A11" w:rsidRPr="003B3A11" w:rsidRDefault="003B3A11" w:rsidP="003B3A11">
            <w:pPr>
              <w:pStyle w:val="NoSpacing"/>
            </w:pPr>
            <w:r w:rsidRPr="003B3A11">
              <w:t>2x weekly at-home asymptomatic testing</w:t>
            </w:r>
          </w:p>
        </w:tc>
        <w:tc>
          <w:tcPr>
            <w:tcW w:w="3440" w:type="dxa"/>
            <w:tcBorders>
              <w:top w:val="nil"/>
              <w:left w:val="nil"/>
              <w:bottom w:val="single" w:sz="6" w:space="0" w:color="000000"/>
              <w:right w:val="single" w:sz="6" w:space="0" w:color="000000"/>
            </w:tcBorders>
            <w:shd w:val="clear" w:color="auto" w:fill="F8F8F8"/>
            <w:tcMar>
              <w:top w:w="150" w:type="dxa"/>
              <w:left w:w="75" w:type="dxa"/>
              <w:bottom w:w="150" w:type="dxa"/>
              <w:right w:w="225" w:type="dxa"/>
            </w:tcMar>
            <w:hideMark/>
          </w:tcPr>
          <w:p w14:paraId="3281C44B" w14:textId="77777777" w:rsidR="003B3A11" w:rsidRPr="003B3A11" w:rsidRDefault="003B3A11" w:rsidP="003B3A11">
            <w:pPr>
              <w:pStyle w:val="NoSpacing"/>
            </w:pPr>
            <w:r w:rsidRPr="003B3A11">
              <w:t xml:space="preserve">Retain </w:t>
            </w:r>
          </w:p>
        </w:tc>
      </w:tr>
      <w:tr w:rsidR="003B3A11" w:rsidRPr="003B3A11" w14:paraId="2F5D7337" w14:textId="77777777" w:rsidTr="003B3A11">
        <w:trPr>
          <w:trHeight w:val="259"/>
        </w:trPr>
        <w:tc>
          <w:tcPr>
            <w:tcW w:w="5289" w:type="dxa"/>
            <w:tcBorders>
              <w:top w:val="nil"/>
              <w:left w:val="single" w:sz="6" w:space="0" w:color="000000"/>
              <w:bottom w:val="single" w:sz="6" w:space="0" w:color="000000"/>
              <w:right w:val="single" w:sz="6" w:space="0" w:color="000000"/>
            </w:tcBorders>
            <w:tcMar>
              <w:top w:w="150" w:type="dxa"/>
              <w:left w:w="225" w:type="dxa"/>
              <w:bottom w:w="150" w:type="dxa"/>
              <w:right w:w="75" w:type="dxa"/>
            </w:tcMar>
            <w:hideMark/>
          </w:tcPr>
          <w:p w14:paraId="36F126C1" w14:textId="77777777" w:rsidR="003B3A11" w:rsidRPr="003B3A11" w:rsidRDefault="003B3A11" w:rsidP="003B3A11">
            <w:pPr>
              <w:pStyle w:val="NoSpacing"/>
            </w:pPr>
            <w:r w:rsidRPr="003B3A11">
              <w:t>Outbreak management</w:t>
            </w:r>
          </w:p>
        </w:tc>
        <w:tc>
          <w:tcPr>
            <w:tcW w:w="3440" w:type="dxa"/>
            <w:tcBorders>
              <w:top w:val="nil"/>
              <w:left w:val="nil"/>
              <w:bottom w:val="single" w:sz="6" w:space="0" w:color="000000"/>
              <w:right w:val="single" w:sz="6" w:space="0" w:color="000000"/>
            </w:tcBorders>
            <w:tcMar>
              <w:top w:w="150" w:type="dxa"/>
              <w:left w:w="75" w:type="dxa"/>
              <w:bottom w:w="150" w:type="dxa"/>
              <w:right w:w="225" w:type="dxa"/>
            </w:tcMar>
            <w:hideMark/>
          </w:tcPr>
          <w:p w14:paraId="5C687BAD" w14:textId="77777777" w:rsidR="003B3A11" w:rsidRPr="003B3A11" w:rsidRDefault="003B3A11" w:rsidP="003B3A11">
            <w:pPr>
              <w:pStyle w:val="NoSpacing"/>
            </w:pPr>
            <w:r w:rsidRPr="003B3A11">
              <w:t xml:space="preserve">Retain </w:t>
            </w:r>
          </w:p>
        </w:tc>
      </w:tr>
      <w:tr w:rsidR="003B3A11" w:rsidRPr="003B3A11" w14:paraId="1A2BB159" w14:textId="77777777" w:rsidTr="003B3A11">
        <w:trPr>
          <w:trHeight w:val="259"/>
        </w:trPr>
        <w:tc>
          <w:tcPr>
            <w:tcW w:w="5289" w:type="dxa"/>
            <w:tcBorders>
              <w:top w:val="nil"/>
              <w:left w:val="single" w:sz="6" w:space="0" w:color="000000"/>
              <w:bottom w:val="single" w:sz="6" w:space="0" w:color="000000"/>
              <w:right w:val="single" w:sz="6" w:space="0" w:color="000000"/>
            </w:tcBorders>
            <w:shd w:val="clear" w:color="auto" w:fill="F8F8F8"/>
            <w:tcMar>
              <w:top w:w="150" w:type="dxa"/>
              <w:left w:w="225" w:type="dxa"/>
              <w:bottom w:w="150" w:type="dxa"/>
              <w:right w:w="75" w:type="dxa"/>
            </w:tcMar>
            <w:hideMark/>
          </w:tcPr>
          <w:p w14:paraId="2F19D6E1" w14:textId="77777777" w:rsidR="003B3A11" w:rsidRPr="003B3A11" w:rsidRDefault="003B3A11" w:rsidP="003B3A11">
            <w:pPr>
              <w:pStyle w:val="NoSpacing"/>
              <w:rPr>
                <w:highlight w:val="yellow"/>
              </w:rPr>
            </w:pPr>
            <w:r w:rsidRPr="003B3A11">
              <w:rPr>
                <w:highlight w:val="yellow"/>
              </w:rPr>
              <w:t>Self-isolation, contact tracing and testing for adults 18+</w:t>
            </w:r>
          </w:p>
        </w:tc>
        <w:tc>
          <w:tcPr>
            <w:tcW w:w="3440" w:type="dxa"/>
            <w:tcBorders>
              <w:top w:val="nil"/>
              <w:left w:val="nil"/>
              <w:bottom w:val="single" w:sz="6" w:space="0" w:color="000000"/>
              <w:right w:val="single" w:sz="6" w:space="0" w:color="000000"/>
            </w:tcBorders>
            <w:shd w:val="clear" w:color="auto" w:fill="F8F8F8"/>
            <w:tcMar>
              <w:top w:w="150" w:type="dxa"/>
              <w:left w:w="75" w:type="dxa"/>
              <w:bottom w:w="150" w:type="dxa"/>
              <w:right w:w="225" w:type="dxa"/>
            </w:tcMar>
            <w:hideMark/>
          </w:tcPr>
          <w:p w14:paraId="0D553DAC" w14:textId="77777777" w:rsidR="003B3A11" w:rsidRPr="003B3A11" w:rsidRDefault="003B3A11" w:rsidP="003B3A11">
            <w:pPr>
              <w:pStyle w:val="NoSpacing"/>
              <w:rPr>
                <w:highlight w:val="yellow"/>
              </w:rPr>
            </w:pPr>
            <w:r w:rsidRPr="003B3A11">
              <w:rPr>
                <w:highlight w:val="yellow"/>
              </w:rPr>
              <w:t> Strengthen</w:t>
            </w:r>
          </w:p>
        </w:tc>
      </w:tr>
      <w:tr w:rsidR="003B3A11" w:rsidRPr="003B3A11" w14:paraId="4255C156" w14:textId="77777777" w:rsidTr="003B3A11">
        <w:trPr>
          <w:trHeight w:val="250"/>
        </w:trPr>
        <w:tc>
          <w:tcPr>
            <w:tcW w:w="5289" w:type="dxa"/>
            <w:tcBorders>
              <w:top w:val="nil"/>
              <w:left w:val="single" w:sz="6" w:space="0" w:color="000000"/>
              <w:bottom w:val="single" w:sz="6" w:space="0" w:color="000000"/>
              <w:right w:val="single" w:sz="6" w:space="0" w:color="000000"/>
            </w:tcBorders>
            <w:tcMar>
              <w:top w:w="150" w:type="dxa"/>
              <w:left w:w="225" w:type="dxa"/>
              <w:bottom w:w="150" w:type="dxa"/>
              <w:right w:w="75" w:type="dxa"/>
            </w:tcMar>
            <w:hideMark/>
          </w:tcPr>
          <w:p w14:paraId="193F7036" w14:textId="77777777" w:rsidR="003B3A11" w:rsidRPr="003B3A11" w:rsidRDefault="003B3A11" w:rsidP="003B3A11">
            <w:pPr>
              <w:pStyle w:val="NoSpacing"/>
              <w:rPr>
                <w:highlight w:val="yellow"/>
              </w:rPr>
            </w:pPr>
            <w:r w:rsidRPr="003B3A11">
              <w:rPr>
                <w:highlight w:val="yellow"/>
              </w:rPr>
              <w:t xml:space="preserve">Self-isolation, contact tracing and testing for U18s </w:t>
            </w:r>
          </w:p>
        </w:tc>
        <w:tc>
          <w:tcPr>
            <w:tcW w:w="3440" w:type="dxa"/>
            <w:tcBorders>
              <w:top w:val="nil"/>
              <w:left w:val="nil"/>
              <w:bottom w:val="single" w:sz="6" w:space="0" w:color="000000"/>
              <w:right w:val="single" w:sz="6" w:space="0" w:color="000000"/>
            </w:tcBorders>
            <w:tcMar>
              <w:top w:w="150" w:type="dxa"/>
              <w:left w:w="75" w:type="dxa"/>
              <w:bottom w:w="150" w:type="dxa"/>
              <w:right w:w="225" w:type="dxa"/>
            </w:tcMar>
            <w:hideMark/>
          </w:tcPr>
          <w:p w14:paraId="31C08908" w14:textId="77777777" w:rsidR="003B3A11" w:rsidRPr="003B3A11" w:rsidRDefault="003B3A11" w:rsidP="003B3A11">
            <w:pPr>
              <w:pStyle w:val="NoSpacing"/>
              <w:rPr>
                <w:highlight w:val="yellow"/>
              </w:rPr>
            </w:pPr>
            <w:r w:rsidRPr="003B3A11">
              <w:rPr>
                <w:highlight w:val="yellow"/>
              </w:rPr>
              <w:t> Strengthen</w:t>
            </w:r>
          </w:p>
        </w:tc>
      </w:tr>
      <w:tr w:rsidR="003B3A11" w:rsidRPr="003B3A11" w14:paraId="2FDBF013" w14:textId="77777777" w:rsidTr="003B3A11">
        <w:trPr>
          <w:trHeight w:val="259"/>
        </w:trPr>
        <w:tc>
          <w:tcPr>
            <w:tcW w:w="5289" w:type="dxa"/>
            <w:tcBorders>
              <w:top w:val="nil"/>
              <w:left w:val="single" w:sz="6" w:space="0" w:color="000000"/>
              <w:bottom w:val="single" w:sz="6" w:space="0" w:color="000000"/>
              <w:right w:val="single" w:sz="6" w:space="0" w:color="000000"/>
            </w:tcBorders>
            <w:shd w:val="clear" w:color="auto" w:fill="F8F8F8"/>
            <w:tcMar>
              <w:top w:w="150" w:type="dxa"/>
              <w:left w:w="225" w:type="dxa"/>
              <w:bottom w:w="150" w:type="dxa"/>
              <w:right w:w="75" w:type="dxa"/>
            </w:tcMar>
            <w:hideMark/>
          </w:tcPr>
          <w:p w14:paraId="6EE6DA61" w14:textId="77777777" w:rsidR="003B3A11" w:rsidRPr="003B3A11" w:rsidRDefault="003B3A11" w:rsidP="003B3A11">
            <w:pPr>
              <w:pStyle w:val="NoSpacing"/>
              <w:rPr>
                <w:highlight w:val="yellow"/>
              </w:rPr>
            </w:pPr>
            <w:r w:rsidRPr="003B3A11">
              <w:rPr>
                <w:highlight w:val="yellow"/>
              </w:rPr>
              <w:lastRenderedPageBreak/>
              <w:t>Minimise contacts</w:t>
            </w:r>
          </w:p>
        </w:tc>
        <w:tc>
          <w:tcPr>
            <w:tcW w:w="3440" w:type="dxa"/>
            <w:tcBorders>
              <w:top w:val="nil"/>
              <w:left w:val="nil"/>
              <w:bottom w:val="single" w:sz="6" w:space="0" w:color="000000"/>
              <w:right w:val="single" w:sz="6" w:space="0" w:color="000000"/>
            </w:tcBorders>
            <w:shd w:val="clear" w:color="auto" w:fill="F8F8F8"/>
            <w:tcMar>
              <w:top w:w="150" w:type="dxa"/>
              <w:left w:w="75" w:type="dxa"/>
              <w:bottom w:w="150" w:type="dxa"/>
              <w:right w:w="225" w:type="dxa"/>
            </w:tcMar>
            <w:hideMark/>
          </w:tcPr>
          <w:p w14:paraId="2954A8C9" w14:textId="77777777" w:rsidR="003B3A11" w:rsidRPr="003B3A11" w:rsidRDefault="003B3A11" w:rsidP="003B3A11">
            <w:pPr>
              <w:pStyle w:val="NoSpacing"/>
              <w:rPr>
                <w:highlight w:val="yellow"/>
              </w:rPr>
            </w:pPr>
            <w:r w:rsidRPr="003B3A11">
              <w:rPr>
                <w:highlight w:val="yellow"/>
              </w:rPr>
              <w:t>Proportionate reintroduction</w:t>
            </w:r>
          </w:p>
        </w:tc>
      </w:tr>
      <w:tr w:rsidR="003B3A11" w:rsidRPr="003B3A11" w14:paraId="48B2F27A" w14:textId="77777777" w:rsidTr="003B3A11">
        <w:trPr>
          <w:trHeight w:val="259"/>
        </w:trPr>
        <w:tc>
          <w:tcPr>
            <w:tcW w:w="5289" w:type="dxa"/>
            <w:tcBorders>
              <w:top w:val="nil"/>
              <w:left w:val="single" w:sz="6" w:space="0" w:color="000000"/>
              <w:bottom w:val="single" w:sz="6" w:space="0" w:color="000000"/>
              <w:right w:val="single" w:sz="6" w:space="0" w:color="000000"/>
            </w:tcBorders>
            <w:tcMar>
              <w:top w:w="150" w:type="dxa"/>
              <w:left w:w="225" w:type="dxa"/>
              <w:bottom w:w="150" w:type="dxa"/>
              <w:right w:w="75" w:type="dxa"/>
            </w:tcMar>
            <w:hideMark/>
          </w:tcPr>
          <w:p w14:paraId="2395E691" w14:textId="77777777" w:rsidR="003B3A11" w:rsidRPr="003B3A11" w:rsidRDefault="003B3A11" w:rsidP="003B3A11">
            <w:pPr>
              <w:pStyle w:val="NoSpacing"/>
              <w:rPr>
                <w:highlight w:val="yellow"/>
              </w:rPr>
            </w:pPr>
            <w:r w:rsidRPr="003B3A11">
              <w:rPr>
                <w:highlight w:val="yellow"/>
              </w:rPr>
              <w:t>Ventilation</w:t>
            </w:r>
          </w:p>
        </w:tc>
        <w:tc>
          <w:tcPr>
            <w:tcW w:w="3440" w:type="dxa"/>
            <w:tcBorders>
              <w:top w:val="nil"/>
              <w:left w:val="nil"/>
              <w:bottom w:val="single" w:sz="6" w:space="0" w:color="000000"/>
              <w:right w:val="single" w:sz="6" w:space="0" w:color="000000"/>
            </w:tcBorders>
            <w:tcMar>
              <w:top w:w="150" w:type="dxa"/>
              <w:left w:w="75" w:type="dxa"/>
              <w:bottom w:w="150" w:type="dxa"/>
              <w:right w:w="225" w:type="dxa"/>
            </w:tcMar>
            <w:hideMark/>
          </w:tcPr>
          <w:p w14:paraId="48BAFE19" w14:textId="77777777" w:rsidR="003B3A11" w:rsidRPr="003B3A11" w:rsidRDefault="003B3A11" w:rsidP="003B3A11">
            <w:pPr>
              <w:pStyle w:val="NoSpacing"/>
              <w:rPr>
                <w:highlight w:val="yellow"/>
              </w:rPr>
            </w:pPr>
            <w:r w:rsidRPr="003B3A11">
              <w:rPr>
                <w:highlight w:val="yellow"/>
              </w:rPr>
              <w:t> Strengthen</w:t>
            </w:r>
          </w:p>
        </w:tc>
      </w:tr>
      <w:tr w:rsidR="003B3A11" w:rsidRPr="003B3A11" w14:paraId="2925BB22" w14:textId="77777777" w:rsidTr="003B3A11">
        <w:trPr>
          <w:trHeight w:val="259"/>
        </w:trPr>
        <w:tc>
          <w:tcPr>
            <w:tcW w:w="5289" w:type="dxa"/>
            <w:tcBorders>
              <w:top w:val="nil"/>
              <w:left w:val="single" w:sz="6" w:space="0" w:color="000000"/>
              <w:bottom w:val="single" w:sz="6" w:space="0" w:color="000000"/>
              <w:right w:val="single" w:sz="6" w:space="0" w:color="000000"/>
            </w:tcBorders>
            <w:shd w:val="clear" w:color="auto" w:fill="F8F8F8"/>
            <w:tcMar>
              <w:top w:w="150" w:type="dxa"/>
              <w:left w:w="225" w:type="dxa"/>
              <w:bottom w:w="150" w:type="dxa"/>
              <w:right w:w="75" w:type="dxa"/>
            </w:tcMar>
            <w:hideMark/>
          </w:tcPr>
          <w:p w14:paraId="140D13A8" w14:textId="77777777" w:rsidR="003B3A11" w:rsidRPr="003B3A11" w:rsidRDefault="003B3A11" w:rsidP="003B3A11">
            <w:pPr>
              <w:pStyle w:val="NoSpacing"/>
              <w:rPr>
                <w:highlight w:val="yellow"/>
              </w:rPr>
            </w:pPr>
            <w:r w:rsidRPr="003B3A11">
              <w:rPr>
                <w:highlight w:val="yellow"/>
              </w:rPr>
              <w:t>Restrictions on school visitors</w:t>
            </w:r>
          </w:p>
        </w:tc>
        <w:tc>
          <w:tcPr>
            <w:tcW w:w="3440" w:type="dxa"/>
            <w:tcBorders>
              <w:top w:val="nil"/>
              <w:left w:val="nil"/>
              <w:bottom w:val="single" w:sz="6" w:space="0" w:color="000000"/>
              <w:right w:val="single" w:sz="6" w:space="0" w:color="000000"/>
            </w:tcBorders>
            <w:shd w:val="clear" w:color="auto" w:fill="F8F8F8"/>
            <w:tcMar>
              <w:top w:w="150" w:type="dxa"/>
              <w:left w:w="75" w:type="dxa"/>
              <w:bottom w:w="150" w:type="dxa"/>
              <w:right w:w="225" w:type="dxa"/>
            </w:tcMar>
            <w:hideMark/>
          </w:tcPr>
          <w:p w14:paraId="54B7C5A2" w14:textId="77777777" w:rsidR="003B3A11" w:rsidRPr="003B3A11" w:rsidRDefault="003B3A11" w:rsidP="003B3A11">
            <w:pPr>
              <w:pStyle w:val="NoSpacing"/>
              <w:rPr>
                <w:highlight w:val="yellow"/>
              </w:rPr>
            </w:pPr>
            <w:r w:rsidRPr="003B3A11">
              <w:rPr>
                <w:highlight w:val="yellow"/>
              </w:rPr>
              <w:t>Proportionate reintroduction</w:t>
            </w:r>
          </w:p>
        </w:tc>
      </w:tr>
      <w:tr w:rsidR="003B3A11" w:rsidRPr="003B3A11" w14:paraId="772E759A" w14:textId="77777777" w:rsidTr="003B3A11">
        <w:trPr>
          <w:trHeight w:val="250"/>
        </w:trPr>
        <w:tc>
          <w:tcPr>
            <w:tcW w:w="5289" w:type="dxa"/>
            <w:tcBorders>
              <w:top w:val="nil"/>
              <w:left w:val="single" w:sz="6" w:space="0" w:color="000000"/>
              <w:bottom w:val="single" w:sz="6" w:space="0" w:color="000000"/>
              <w:right w:val="single" w:sz="6" w:space="0" w:color="000000"/>
            </w:tcBorders>
            <w:tcMar>
              <w:top w:w="150" w:type="dxa"/>
              <w:left w:w="225" w:type="dxa"/>
              <w:bottom w:w="150" w:type="dxa"/>
              <w:right w:w="75" w:type="dxa"/>
            </w:tcMar>
            <w:hideMark/>
          </w:tcPr>
          <w:p w14:paraId="2788D4AE" w14:textId="77777777" w:rsidR="003B3A11" w:rsidRPr="003B3A11" w:rsidRDefault="003B3A11" w:rsidP="003B3A11">
            <w:pPr>
              <w:pStyle w:val="NoSpacing"/>
              <w:rPr>
                <w:highlight w:val="yellow"/>
              </w:rPr>
            </w:pPr>
            <w:r w:rsidRPr="003B3A11">
              <w:rPr>
                <w:highlight w:val="yellow"/>
              </w:rPr>
              <w:t>Restrictions on Drama, Music, PE and Dance</w:t>
            </w:r>
          </w:p>
        </w:tc>
        <w:tc>
          <w:tcPr>
            <w:tcW w:w="3440" w:type="dxa"/>
            <w:tcBorders>
              <w:top w:val="nil"/>
              <w:left w:val="nil"/>
              <w:bottom w:val="single" w:sz="6" w:space="0" w:color="000000"/>
              <w:right w:val="single" w:sz="6" w:space="0" w:color="000000"/>
            </w:tcBorders>
            <w:tcMar>
              <w:top w:w="150" w:type="dxa"/>
              <w:left w:w="75" w:type="dxa"/>
              <w:bottom w:w="150" w:type="dxa"/>
              <w:right w:w="225" w:type="dxa"/>
            </w:tcMar>
            <w:hideMark/>
          </w:tcPr>
          <w:p w14:paraId="4753DC12" w14:textId="77777777" w:rsidR="003B3A11" w:rsidRPr="003B3A11" w:rsidRDefault="003B3A11" w:rsidP="003B3A11">
            <w:pPr>
              <w:pStyle w:val="NoSpacing"/>
              <w:rPr>
                <w:highlight w:val="yellow"/>
              </w:rPr>
            </w:pPr>
            <w:r w:rsidRPr="003B3A11">
              <w:rPr>
                <w:highlight w:val="yellow"/>
              </w:rPr>
              <w:t>Not required</w:t>
            </w:r>
          </w:p>
        </w:tc>
      </w:tr>
      <w:tr w:rsidR="003B3A11" w:rsidRPr="003B3A11" w14:paraId="420FA5DD" w14:textId="77777777" w:rsidTr="003B3A11">
        <w:trPr>
          <w:trHeight w:val="259"/>
        </w:trPr>
        <w:tc>
          <w:tcPr>
            <w:tcW w:w="5289" w:type="dxa"/>
            <w:tcBorders>
              <w:top w:val="nil"/>
              <w:left w:val="single" w:sz="6" w:space="0" w:color="000000"/>
              <w:bottom w:val="single" w:sz="6" w:space="0" w:color="000000"/>
              <w:right w:val="single" w:sz="6" w:space="0" w:color="000000"/>
            </w:tcBorders>
            <w:shd w:val="clear" w:color="auto" w:fill="F8F8F8"/>
            <w:tcMar>
              <w:top w:w="150" w:type="dxa"/>
              <w:left w:w="225" w:type="dxa"/>
              <w:bottom w:w="150" w:type="dxa"/>
              <w:right w:w="75" w:type="dxa"/>
            </w:tcMar>
            <w:hideMark/>
          </w:tcPr>
          <w:p w14:paraId="4C6297B2" w14:textId="77777777" w:rsidR="003B3A11" w:rsidRPr="003B3A11" w:rsidRDefault="003B3A11" w:rsidP="003B3A11">
            <w:pPr>
              <w:pStyle w:val="NoSpacing"/>
            </w:pPr>
            <w:r w:rsidRPr="003B3A11">
              <w:t>School Transport</w:t>
            </w:r>
          </w:p>
        </w:tc>
        <w:tc>
          <w:tcPr>
            <w:tcW w:w="3440" w:type="dxa"/>
            <w:tcBorders>
              <w:top w:val="nil"/>
              <w:left w:val="nil"/>
              <w:bottom w:val="single" w:sz="6" w:space="0" w:color="000000"/>
              <w:right w:val="single" w:sz="6" w:space="0" w:color="000000"/>
            </w:tcBorders>
            <w:shd w:val="clear" w:color="auto" w:fill="F8F8F8"/>
            <w:tcMar>
              <w:top w:w="150" w:type="dxa"/>
              <w:left w:w="75" w:type="dxa"/>
              <w:bottom w:w="150" w:type="dxa"/>
              <w:right w:w="225" w:type="dxa"/>
            </w:tcMar>
            <w:hideMark/>
          </w:tcPr>
          <w:p w14:paraId="7D626027" w14:textId="77777777" w:rsidR="003B3A11" w:rsidRPr="003B3A11" w:rsidRDefault="003B3A11" w:rsidP="003B3A11">
            <w:pPr>
              <w:pStyle w:val="NoSpacing"/>
            </w:pPr>
            <w:r w:rsidRPr="003B3A11">
              <w:t>Retain </w:t>
            </w:r>
          </w:p>
        </w:tc>
      </w:tr>
      <w:tr w:rsidR="003B3A11" w:rsidRPr="003B3A11" w14:paraId="2431AB86" w14:textId="77777777" w:rsidTr="003B3A11">
        <w:trPr>
          <w:trHeight w:val="259"/>
        </w:trPr>
        <w:tc>
          <w:tcPr>
            <w:tcW w:w="5289" w:type="dxa"/>
            <w:tcBorders>
              <w:top w:val="nil"/>
              <w:left w:val="single" w:sz="6" w:space="0" w:color="000000"/>
              <w:bottom w:val="single" w:sz="6" w:space="0" w:color="000000"/>
              <w:right w:val="single" w:sz="6" w:space="0" w:color="000000"/>
            </w:tcBorders>
            <w:tcMar>
              <w:top w:w="150" w:type="dxa"/>
              <w:left w:w="225" w:type="dxa"/>
              <w:bottom w:w="150" w:type="dxa"/>
              <w:right w:w="75" w:type="dxa"/>
            </w:tcMar>
            <w:hideMark/>
          </w:tcPr>
          <w:p w14:paraId="6D5AE620" w14:textId="77777777" w:rsidR="003B3A11" w:rsidRPr="003B3A11" w:rsidRDefault="003B3A11" w:rsidP="003B3A11">
            <w:pPr>
              <w:pStyle w:val="NoSpacing"/>
              <w:rPr>
                <w:highlight w:val="yellow"/>
              </w:rPr>
            </w:pPr>
            <w:r w:rsidRPr="003B3A11">
              <w:rPr>
                <w:highlight w:val="yellow"/>
              </w:rPr>
              <w:t>Limits on school trips</w:t>
            </w:r>
          </w:p>
        </w:tc>
        <w:tc>
          <w:tcPr>
            <w:tcW w:w="3440" w:type="dxa"/>
            <w:tcBorders>
              <w:top w:val="nil"/>
              <w:left w:val="nil"/>
              <w:bottom w:val="single" w:sz="6" w:space="0" w:color="000000"/>
              <w:right w:val="single" w:sz="6" w:space="0" w:color="000000"/>
            </w:tcBorders>
            <w:tcMar>
              <w:top w:w="150" w:type="dxa"/>
              <w:left w:w="75" w:type="dxa"/>
              <w:bottom w:w="150" w:type="dxa"/>
              <w:right w:w="225" w:type="dxa"/>
            </w:tcMar>
            <w:hideMark/>
          </w:tcPr>
          <w:p w14:paraId="533B4778" w14:textId="77777777" w:rsidR="003B3A11" w:rsidRPr="003B3A11" w:rsidRDefault="003B3A11" w:rsidP="003B3A11">
            <w:pPr>
              <w:pStyle w:val="NoSpacing"/>
              <w:rPr>
                <w:highlight w:val="yellow"/>
              </w:rPr>
            </w:pPr>
            <w:r w:rsidRPr="003B3A11">
              <w:rPr>
                <w:highlight w:val="yellow"/>
              </w:rPr>
              <w:t>Proportionate reintroduction</w:t>
            </w:r>
          </w:p>
        </w:tc>
      </w:tr>
      <w:tr w:rsidR="003B3A11" w:rsidRPr="003B3A11" w14:paraId="281773C8" w14:textId="77777777" w:rsidTr="003B3A11">
        <w:trPr>
          <w:trHeight w:val="259"/>
        </w:trPr>
        <w:tc>
          <w:tcPr>
            <w:tcW w:w="5289" w:type="dxa"/>
            <w:tcBorders>
              <w:top w:val="nil"/>
              <w:left w:val="single" w:sz="6" w:space="0" w:color="000000"/>
              <w:bottom w:val="single" w:sz="6" w:space="0" w:color="000000"/>
              <w:right w:val="single" w:sz="6" w:space="0" w:color="000000"/>
            </w:tcBorders>
            <w:shd w:val="clear" w:color="auto" w:fill="F8F8F8"/>
            <w:tcMar>
              <w:top w:w="150" w:type="dxa"/>
              <w:left w:w="225" w:type="dxa"/>
              <w:bottom w:w="150" w:type="dxa"/>
              <w:right w:w="75" w:type="dxa"/>
            </w:tcMar>
            <w:hideMark/>
          </w:tcPr>
          <w:p w14:paraId="208E00DC" w14:textId="77777777" w:rsidR="003B3A11" w:rsidRPr="003B3A11" w:rsidRDefault="003B3A11" w:rsidP="003B3A11">
            <w:pPr>
              <w:pStyle w:val="NoSpacing"/>
            </w:pPr>
            <w:r w:rsidRPr="003B3A11">
              <w:t>Readiness and assurance</w:t>
            </w:r>
          </w:p>
        </w:tc>
        <w:tc>
          <w:tcPr>
            <w:tcW w:w="3440" w:type="dxa"/>
            <w:tcBorders>
              <w:top w:val="nil"/>
              <w:left w:val="nil"/>
              <w:bottom w:val="single" w:sz="6" w:space="0" w:color="000000"/>
              <w:right w:val="single" w:sz="6" w:space="0" w:color="000000"/>
            </w:tcBorders>
            <w:shd w:val="clear" w:color="auto" w:fill="F8F8F8"/>
            <w:tcMar>
              <w:top w:w="150" w:type="dxa"/>
              <w:left w:w="75" w:type="dxa"/>
              <w:bottom w:w="150" w:type="dxa"/>
              <w:right w:w="225" w:type="dxa"/>
            </w:tcMar>
            <w:hideMark/>
          </w:tcPr>
          <w:p w14:paraId="02C3AED9" w14:textId="77777777" w:rsidR="003B3A11" w:rsidRPr="003B3A11" w:rsidRDefault="003B3A11" w:rsidP="003B3A11">
            <w:pPr>
              <w:pStyle w:val="NoSpacing"/>
            </w:pPr>
            <w:r w:rsidRPr="003B3A11">
              <w:t>Retain</w:t>
            </w:r>
          </w:p>
        </w:tc>
      </w:tr>
      <w:tr w:rsidR="003B3A11" w:rsidRPr="003B3A11" w14:paraId="0022723F" w14:textId="77777777" w:rsidTr="003B3A11">
        <w:trPr>
          <w:trHeight w:val="250"/>
        </w:trPr>
        <w:tc>
          <w:tcPr>
            <w:tcW w:w="5289" w:type="dxa"/>
            <w:tcBorders>
              <w:top w:val="nil"/>
              <w:left w:val="single" w:sz="6" w:space="0" w:color="000000"/>
              <w:bottom w:val="single" w:sz="6" w:space="0" w:color="000000"/>
              <w:right w:val="single" w:sz="6" w:space="0" w:color="000000"/>
            </w:tcBorders>
            <w:tcMar>
              <w:top w:w="150" w:type="dxa"/>
              <w:left w:w="225" w:type="dxa"/>
              <w:bottom w:w="150" w:type="dxa"/>
              <w:right w:w="75" w:type="dxa"/>
            </w:tcMar>
            <w:hideMark/>
          </w:tcPr>
          <w:p w14:paraId="26C174EF" w14:textId="77777777" w:rsidR="003B3A11" w:rsidRPr="003B3A11" w:rsidRDefault="003B3A11" w:rsidP="003B3A11">
            <w:pPr>
              <w:pStyle w:val="NoSpacing"/>
            </w:pPr>
            <w:r w:rsidRPr="003B3A11">
              <w:t>Residential accommodation</w:t>
            </w:r>
          </w:p>
        </w:tc>
        <w:tc>
          <w:tcPr>
            <w:tcW w:w="3440" w:type="dxa"/>
            <w:tcBorders>
              <w:top w:val="nil"/>
              <w:left w:val="nil"/>
              <w:bottom w:val="single" w:sz="6" w:space="0" w:color="000000"/>
              <w:right w:val="single" w:sz="6" w:space="0" w:color="000000"/>
            </w:tcBorders>
            <w:tcMar>
              <w:top w:w="150" w:type="dxa"/>
              <w:left w:w="75" w:type="dxa"/>
              <w:bottom w:w="150" w:type="dxa"/>
              <w:right w:w="225" w:type="dxa"/>
            </w:tcMar>
            <w:hideMark/>
          </w:tcPr>
          <w:p w14:paraId="66AFC4EC" w14:textId="77777777" w:rsidR="003B3A11" w:rsidRPr="003B3A11" w:rsidRDefault="003B3A11" w:rsidP="003B3A11">
            <w:pPr>
              <w:pStyle w:val="NoSpacing"/>
            </w:pPr>
            <w:r w:rsidRPr="003B3A11">
              <w:t>Retain</w:t>
            </w:r>
          </w:p>
        </w:tc>
      </w:tr>
    </w:tbl>
    <w:p w14:paraId="7C753171" w14:textId="36F6AFAB" w:rsidR="00E87403" w:rsidRDefault="00E87403" w:rsidP="00EE6CFF"/>
    <w:p w14:paraId="0101EF40" w14:textId="0330C647" w:rsidR="00E87403" w:rsidRDefault="003B3A11" w:rsidP="00EE6CFF">
      <w:hyperlink r:id="rId11" w:history="1">
        <w:r>
          <w:rPr>
            <w:rStyle w:val="Hyperlink"/>
          </w:rPr>
          <w:t>PDF Reducing Risks in Schools Guidance</w:t>
        </w:r>
      </w:hyperlink>
      <w:r>
        <w:t xml:space="preserve"> (includes following numbered paragraphs) </w:t>
      </w:r>
    </w:p>
    <w:p w14:paraId="220F63FD" w14:textId="092EB111" w:rsidR="00E87403" w:rsidRDefault="00E87403" w:rsidP="00E87403">
      <w:r>
        <w:t xml:space="preserve">Key changes to the previous guidance that will be introduced are: </w:t>
      </w:r>
    </w:p>
    <w:p w14:paraId="70A9010A" w14:textId="423B8A7A" w:rsidR="003B3A11" w:rsidRPr="00E07294" w:rsidRDefault="00E87403" w:rsidP="003B3A11">
      <w:pPr>
        <w:pStyle w:val="ListParagraph"/>
        <w:numPr>
          <w:ilvl w:val="0"/>
          <w:numId w:val="8"/>
        </w:numPr>
        <w:rPr>
          <w:b/>
          <w:bCs/>
        </w:rPr>
      </w:pPr>
      <w:r w:rsidRPr="00E07294">
        <w:rPr>
          <w:b/>
          <w:bCs/>
        </w:rPr>
        <w:t>A strengthened approach to minimising contacts, primarily through the reintroduction of groupings</w:t>
      </w:r>
      <w:r w:rsidR="00E07294" w:rsidRPr="00E07294">
        <w:rPr>
          <w:b/>
          <w:bCs/>
        </w:rPr>
        <w:t>/bubbles</w:t>
      </w:r>
      <w:r w:rsidRPr="00E07294">
        <w:rPr>
          <w:b/>
          <w:bCs/>
        </w:rPr>
        <w:t xml:space="preserve"> where practicable indoors (paras 25-27) </w:t>
      </w:r>
    </w:p>
    <w:p w14:paraId="20C19E90" w14:textId="013C3E78" w:rsidR="003B3A11" w:rsidRDefault="003B3A11" w:rsidP="003B3A11">
      <w:pPr>
        <w:pStyle w:val="ListParagraph"/>
        <w:numPr>
          <w:ilvl w:val="1"/>
          <w:numId w:val="8"/>
        </w:numPr>
      </w:pPr>
      <w:r>
        <w:t>size of such groupings might differ depending upon local circumstances and the need to minimise education disruption – for example a grouping might refer to a whole class in primary school, and a whole year group or the senior phase in secondary school</w:t>
      </w:r>
    </w:p>
    <w:p w14:paraId="4F74CFF6" w14:textId="77777777" w:rsidR="00E07294" w:rsidRPr="00E07294" w:rsidRDefault="00E07294" w:rsidP="00E07294">
      <w:pPr>
        <w:pStyle w:val="ListParagraph"/>
        <w:numPr>
          <w:ilvl w:val="1"/>
          <w:numId w:val="8"/>
        </w:numPr>
        <w:rPr>
          <w:b/>
          <w:bCs/>
          <w:u w:val="single"/>
        </w:rPr>
      </w:pPr>
      <w:r>
        <w:t>continue to avoid assemblies and other types of large group gatherings</w:t>
      </w:r>
    </w:p>
    <w:p w14:paraId="444DC5CB" w14:textId="77777777" w:rsidR="00E07294" w:rsidRPr="00E07294" w:rsidRDefault="00E07294" w:rsidP="00E07294">
      <w:pPr>
        <w:pStyle w:val="ListParagraph"/>
        <w:numPr>
          <w:ilvl w:val="1"/>
          <w:numId w:val="8"/>
        </w:numPr>
        <w:rPr>
          <w:b/>
          <w:bCs/>
          <w:u w:val="single"/>
        </w:rPr>
      </w:pPr>
      <w:r>
        <w:t xml:space="preserve">Where it is necessary to bring groups together, alternative mitigating actions should be put in place, such as physical distancing, ventilation, face coverings, meeting outside and limiting the time spent together </w:t>
      </w:r>
    </w:p>
    <w:p w14:paraId="63302567" w14:textId="0C185958" w:rsidR="003B3A11" w:rsidRPr="002E013D" w:rsidRDefault="00E07294" w:rsidP="00E87403">
      <w:pPr>
        <w:pStyle w:val="ListParagraph"/>
        <w:numPr>
          <w:ilvl w:val="1"/>
          <w:numId w:val="8"/>
        </w:numPr>
        <w:rPr>
          <w:b/>
          <w:bCs/>
          <w:u w:val="single"/>
        </w:rPr>
      </w:pPr>
      <w:r>
        <w:t>As with the existing policy, preliminary examinations remain permitted provided they are held in accordance with this guidance.</w:t>
      </w:r>
    </w:p>
    <w:p w14:paraId="1D284A6E" w14:textId="77777777" w:rsidR="002E013D" w:rsidRPr="002E013D" w:rsidRDefault="002E013D" w:rsidP="00E87403">
      <w:pPr>
        <w:pStyle w:val="ListParagraph"/>
        <w:numPr>
          <w:ilvl w:val="1"/>
          <w:numId w:val="8"/>
        </w:numPr>
        <w:rPr>
          <w:b/>
          <w:bCs/>
          <w:u w:val="single"/>
        </w:rPr>
      </w:pPr>
    </w:p>
    <w:p w14:paraId="461F2F56" w14:textId="6869CA13" w:rsidR="00E07294" w:rsidRDefault="00E07294" w:rsidP="003B3A11">
      <w:pPr>
        <w:pStyle w:val="ListParagraph"/>
        <w:numPr>
          <w:ilvl w:val="0"/>
          <w:numId w:val="8"/>
        </w:numPr>
        <w:rPr>
          <w:b/>
          <w:bCs/>
        </w:rPr>
      </w:pPr>
      <w:r>
        <w:rPr>
          <w:b/>
          <w:bCs/>
        </w:rPr>
        <w:t>Restrictions</w:t>
      </w:r>
      <w:r w:rsidR="00E87403" w:rsidRPr="00E07294">
        <w:rPr>
          <w:b/>
          <w:bCs/>
        </w:rPr>
        <w:t xml:space="preserve"> on school visitors </w:t>
      </w:r>
      <w:r w:rsidRPr="00E07294">
        <w:rPr>
          <w:b/>
          <w:bCs/>
        </w:rPr>
        <w:t>(para 28-35)</w:t>
      </w:r>
    </w:p>
    <w:p w14:paraId="7D7AF39D" w14:textId="77777777" w:rsidR="00E07294" w:rsidRDefault="00E07294" w:rsidP="00E07294">
      <w:pPr>
        <w:pStyle w:val="ListParagraph"/>
        <w:numPr>
          <w:ilvl w:val="1"/>
          <w:numId w:val="8"/>
        </w:numPr>
      </w:pPr>
      <w:r w:rsidRPr="00E07294">
        <w:rPr>
          <w:highlight w:val="yellow"/>
        </w:rPr>
        <w:t>In recognition of the positive impact on the wellbeing of children and young people, supply staff and other professional visitors can continue to visit schools.</w:t>
      </w:r>
      <w:r w:rsidRPr="00E07294">
        <w:t xml:space="preserve"> </w:t>
      </w:r>
    </w:p>
    <w:p w14:paraId="48889130" w14:textId="2122B785" w:rsidR="00E07294" w:rsidRPr="00E07294" w:rsidRDefault="00E07294" w:rsidP="00E07294">
      <w:pPr>
        <w:pStyle w:val="ListParagraph"/>
        <w:numPr>
          <w:ilvl w:val="0"/>
          <w:numId w:val="9"/>
        </w:numPr>
        <w:rPr>
          <w:rFonts w:cstheme="minorHAnsi"/>
        </w:rPr>
      </w:pPr>
      <w:r>
        <w:t xml:space="preserve">This includes all categories of staff included in </w:t>
      </w:r>
      <w:r>
        <w:t>previous</w:t>
      </w:r>
      <w:r>
        <w:t xml:space="preserve"> </w:t>
      </w:r>
      <w:r w:rsidRPr="00E07294">
        <w:rPr>
          <w:rFonts w:cstheme="minorHAnsi"/>
        </w:rPr>
        <w:t>Non-core staffing guidance:</w:t>
      </w:r>
    </w:p>
    <w:p w14:paraId="3A36ADCA" w14:textId="5D0CA654" w:rsidR="00E07294" w:rsidRPr="0005060C" w:rsidRDefault="00E07294" w:rsidP="00341426">
      <w:pPr>
        <w:pStyle w:val="paragraph"/>
        <w:numPr>
          <w:ilvl w:val="1"/>
          <w:numId w:val="10"/>
        </w:numPr>
        <w:spacing w:before="0" w:beforeAutospacing="0" w:after="0" w:afterAutospacing="0"/>
        <w:textAlignment w:val="baseline"/>
        <w:rPr>
          <w:rFonts w:asciiTheme="minorHAnsi" w:hAnsiTheme="minorHAnsi" w:cstheme="minorHAnsi"/>
          <w:sz w:val="22"/>
          <w:szCs w:val="22"/>
        </w:rPr>
      </w:pPr>
      <w:r w:rsidRPr="0005060C">
        <w:rPr>
          <w:rStyle w:val="normaltextrun"/>
          <w:rFonts w:asciiTheme="minorHAnsi" w:hAnsiTheme="minorHAnsi" w:cstheme="minorHAnsi"/>
          <w:sz w:val="22"/>
          <w:szCs w:val="22"/>
        </w:rPr>
        <w:t>Police, Clergy, Social Workers, Supply teachers, Instrumental Music Instructors, Skills Development Scotland staff, JET Team, School Nurse </w:t>
      </w:r>
      <w:r w:rsidRPr="0005060C">
        <w:rPr>
          <w:rStyle w:val="eop"/>
          <w:rFonts w:asciiTheme="minorHAnsi" w:hAnsiTheme="minorHAnsi" w:cstheme="minorHAnsi"/>
          <w:sz w:val="22"/>
          <w:szCs w:val="22"/>
        </w:rPr>
        <w:t> </w:t>
      </w:r>
    </w:p>
    <w:p w14:paraId="5EB5DF92" w14:textId="4BE728A1" w:rsidR="00E07294" w:rsidRPr="0005060C" w:rsidRDefault="00E07294" w:rsidP="00341426">
      <w:pPr>
        <w:pStyle w:val="paragraph"/>
        <w:numPr>
          <w:ilvl w:val="1"/>
          <w:numId w:val="10"/>
        </w:numPr>
        <w:spacing w:before="0" w:beforeAutospacing="0" w:after="0" w:afterAutospacing="0"/>
        <w:textAlignment w:val="baseline"/>
        <w:rPr>
          <w:rStyle w:val="eop"/>
          <w:rFonts w:asciiTheme="minorHAnsi" w:hAnsiTheme="minorHAnsi" w:cstheme="minorHAnsi"/>
          <w:sz w:val="22"/>
          <w:szCs w:val="22"/>
        </w:rPr>
      </w:pPr>
      <w:r w:rsidRPr="0005060C">
        <w:rPr>
          <w:rStyle w:val="normaltextrun"/>
          <w:rFonts w:asciiTheme="minorHAnsi" w:hAnsiTheme="minorHAnsi" w:cstheme="minorHAnsi"/>
          <w:sz w:val="22"/>
          <w:szCs w:val="22"/>
        </w:rPr>
        <w:t xml:space="preserve"> Peripatetic: ASL, Psychologists, Youth Music Initiative (YMI), Tutors</w:t>
      </w:r>
      <w:r>
        <w:rPr>
          <w:rStyle w:val="normaltextrun"/>
          <w:rFonts w:asciiTheme="minorHAnsi" w:hAnsiTheme="minorHAnsi" w:cstheme="minorHAnsi"/>
          <w:sz w:val="22"/>
          <w:szCs w:val="22"/>
        </w:rPr>
        <w:t>,</w:t>
      </w:r>
      <w:r w:rsidRPr="0005060C">
        <w:rPr>
          <w:rStyle w:val="normaltextrun"/>
          <w:rFonts w:asciiTheme="minorHAnsi" w:hAnsiTheme="minorHAnsi" w:cstheme="minorHAnsi"/>
          <w:sz w:val="22"/>
          <w:szCs w:val="22"/>
        </w:rPr>
        <w:t> Local Authority Youth Workers</w:t>
      </w:r>
      <w:r w:rsidRPr="0005060C">
        <w:rPr>
          <w:rStyle w:val="eop"/>
          <w:rFonts w:asciiTheme="minorHAnsi" w:hAnsiTheme="minorHAnsi" w:cstheme="minorHAnsi"/>
          <w:sz w:val="22"/>
          <w:szCs w:val="22"/>
        </w:rPr>
        <w:t> </w:t>
      </w:r>
    </w:p>
    <w:p w14:paraId="024EBEEE" w14:textId="2895C047" w:rsidR="00E07294" w:rsidRPr="0005060C" w:rsidRDefault="00E07294" w:rsidP="00341426">
      <w:pPr>
        <w:pStyle w:val="paragraph"/>
        <w:numPr>
          <w:ilvl w:val="1"/>
          <w:numId w:val="10"/>
        </w:numPr>
        <w:spacing w:before="0" w:beforeAutospacing="0" w:after="0" w:afterAutospacing="0"/>
        <w:textAlignment w:val="baseline"/>
        <w:rPr>
          <w:rStyle w:val="eop"/>
          <w:rFonts w:asciiTheme="minorHAnsi" w:hAnsiTheme="minorHAnsi" w:cstheme="minorHAnsi"/>
          <w:sz w:val="22"/>
          <w:szCs w:val="22"/>
        </w:rPr>
      </w:pPr>
      <w:r w:rsidRPr="0005060C">
        <w:rPr>
          <w:rStyle w:val="eop"/>
          <w:rFonts w:asciiTheme="minorHAnsi" w:hAnsiTheme="minorHAnsi" w:cstheme="minorHAnsi"/>
          <w:sz w:val="22"/>
          <w:szCs w:val="22"/>
        </w:rPr>
        <w:t xml:space="preserve">Outdoor learning specialists, SQA staff and appointees </w:t>
      </w:r>
      <w:r w:rsidRPr="0005060C">
        <w:rPr>
          <w:rFonts w:asciiTheme="minorHAnsi" w:hAnsiTheme="minorHAnsi" w:cstheme="minorHAnsi"/>
          <w:sz w:val="22"/>
          <w:szCs w:val="22"/>
        </w:rPr>
        <w:t>(e.g. visiting assessors and visiting verifiers</w:t>
      </w:r>
      <w:r w:rsidRPr="0005060C">
        <w:rPr>
          <w:rStyle w:val="eop"/>
          <w:rFonts w:asciiTheme="minorHAnsi" w:hAnsiTheme="minorHAnsi" w:cstheme="minorHAnsi"/>
          <w:sz w:val="22"/>
          <w:szCs w:val="22"/>
        </w:rPr>
        <w:t>, Education Scotland, including HMIe</w:t>
      </w:r>
    </w:p>
    <w:p w14:paraId="6FA92F4D" w14:textId="13FE3F0F" w:rsidR="00E07294" w:rsidRPr="00E07294" w:rsidRDefault="00E07294" w:rsidP="00341426">
      <w:pPr>
        <w:pStyle w:val="ListParagraph"/>
        <w:numPr>
          <w:ilvl w:val="1"/>
          <w:numId w:val="10"/>
        </w:numPr>
        <w:rPr>
          <w:rStyle w:val="normaltextrun"/>
        </w:rPr>
      </w:pPr>
      <w:r w:rsidRPr="0005060C">
        <w:rPr>
          <w:rStyle w:val="normaltextrun"/>
          <w:rFonts w:cstheme="minorHAnsi"/>
        </w:rPr>
        <w:t>non-council delivery partners and volunteers where this is deemed essential to support learning or to have a positive impact on health and wellbeing</w:t>
      </w:r>
    </w:p>
    <w:p w14:paraId="1BC5DF12" w14:textId="77777777" w:rsidR="00E07294" w:rsidRDefault="00E07294" w:rsidP="00E07294">
      <w:pPr>
        <w:pStyle w:val="ListParagraph"/>
        <w:ind w:left="360"/>
      </w:pPr>
    </w:p>
    <w:p w14:paraId="3708E7D3" w14:textId="627E545C" w:rsidR="00341426" w:rsidRDefault="00E07294" w:rsidP="00E07294">
      <w:pPr>
        <w:pStyle w:val="ListParagraph"/>
        <w:numPr>
          <w:ilvl w:val="1"/>
          <w:numId w:val="8"/>
        </w:numPr>
      </w:pPr>
      <w:r w:rsidRPr="00E07294">
        <w:t xml:space="preserve">Movements should be limited to those that are </w:t>
      </w:r>
      <w:r w:rsidRPr="00341426">
        <w:rPr>
          <w:b/>
          <w:bCs/>
        </w:rPr>
        <w:t xml:space="preserve">necessary to support children and young people or the running of the school </w:t>
      </w:r>
      <w:r w:rsidRPr="00E07294">
        <w:t>until otherwise advised</w:t>
      </w:r>
    </w:p>
    <w:p w14:paraId="237727CA" w14:textId="27E1D6D7" w:rsidR="00341426" w:rsidRDefault="00341426" w:rsidP="00E07294">
      <w:pPr>
        <w:pStyle w:val="ListParagraph"/>
        <w:numPr>
          <w:ilvl w:val="1"/>
          <w:numId w:val="8"/>
        </w:numPr>
      </w:pPr>
      <w:r>
        <w:lastRenderedPageBreak/>
        <w:t>Consider if support by virtual means is possible</w:t>
      </w:r>
    </w:p>
    <w:p w14:paraId="68EBDB37" w14:textId="741A29F2" w:rsidR="00E07294" w:rsidRPr="00341426" w:rsidRDefault="00341426" w:rsidP="00341426">
      <w:pPr>
        <w:pStyle w:val="ListParagraph"/>
        <w:numPr>
          <w:ilvl w:val="1"/>
          <w:numId w:val="8"/>
        </w:numPr>
        <w:rPr>
          <w:b/>
          <w:bCs/>
        </w:rPr>
      </w:pPr>
      <w:r>
        <w:t xml:space="preserve">Visitors </w:t>
      </w:r>
      <w:r w:rsidR="00E07294" w:rsidRPr="00E07294">
        <w:t>should take regular lateral flow tests when asymptomatic</w:t>
      </w:r>
      <w:r>
        <w:t xml:space="preserve"> – a daily LFT is recommended if visiting a different setting each day </w:t>
      </w:r>
    </w:p>
    <w:p w14:paraId="2AC8193C" w14:textId="3A087CEE" w:rsidR="00341426" w:rsidRDefault="0015766A" w:rsidP="0015766A">
      <w:pPr>
        <w:ind w:left="360"/>
        <w:rPr>
          <w:b/>
          <w:bCs/>
        </w:rPr>
      </w:pPr>
      <w:r>
        <w:rPr>
          <w:b/>
          <w:bCs/>
        </w:rPr>
        <w:t>VISITOR CHECKLIST</w:t>
      </w:r>
    </w:p>
    <w:p w14:paraId="5972CB75" w14:textId="53014D6A" w:rsidR="0015766A" w:rsidRPr="0015766A" w:rsidRDefault="0015766A" w:rsidP="0015766A">
      <w:pPr>
        <w:pStyle w:val="ListParagraph"/>
        <w:numPr>
          <w:ilvl w:val="0"/>
          <w:numId w:val="6"/>
        </w:numPr>
        <w:rPr>
          <w:b/>
          <w:bCs/>
        </w:rPr>
      </w:pPr>
      <w:r w:rsidRPr="0015766A">
        <w:rPr>
          <w:b/>
          <w:bCs/>
        </w:rPr>
        <w:t>Date and result of most recent LFT</w:t>
      </w:r>
    </w:p>
    <w:p w14:paraId="7403C66D" w14:textId="7F99FA34" w:rsidR="0015766A" w:rsidRPr="0015766A" w:rsidRDefault="0015766A" w:rsidP="0015766A">
      <w:pPr>
        <w:pStyle w:val="ListParagraph"/>
        <w:numPr>
          <w:ilvl w:val="0"/>
          <w:numId w:val="6"/>
        </w:numPr>
        <w:rPr>
          <w:b/>
          <w:bCs/>
        </w:rPr>
      </w:pPr>
      <w:r>
        <w:rPr>
          <w:b/>
          <w:bCs/>
        </w:rPr>
        <w:t>Name of previous setting visited (aware of any Outbreaks)</w:t>
      </w:r>
    </w:p>
    <w:p w14:paraId="5F43CDBE" w14:textId="406C3B34" w:rsidR="0015766A" w:rsidRPr="0015766A" w:rsidRDefault="0015766A" w:rsidP="0015766A">
      <w:pPr>
        <w:pStyle w:val="ListParagraph"/>
        <w:numPr>
          <w:ilvl w:val="0"/>
          <w:numId w:val="6"/>
        </w:numPr>
        <w:rPr>
          <w:b/>
          <w:bCs/>
        </w:rPr>
      </w:pPr>
      <w:r w:rsidRPr="0015766A">
        <w:rPr>
          <w:b/>
          <w:bCs/>
        </w:rPr>
        <w:t xml:space="preserve">Relevant Risk Assessment </w:t>
      </w:r>
      <w:r>
        <w:rPr>
          <w:b/>
          <w:bCs/>
        </w:rPr>
        <w:t>shared</w:t>
      </w:r>
    </w:p>
    <w:p w14:paraId="4D6173B3" w14:textId="00D8DFD9" w:rsidR="00024742" w:rsidRDefault="0015766A" w:rsidP="00024742">
      <w:pPr>
        <w:pStyle w:val="ListParagraph"/>
        <w:numPr>
          <w:ilvl w:val="0"/>
          <w:numId w:val="6"/>
        </w:numPr>
        <w:rPr>
          <w:b/>
          <w:bCs/>
        </w:rPr>
      </w:pPr>
      <w:r w:rsidRPr="0015766A">
        <w:rPr>
          <w:b/>
          <w:bCs/>
        </w:rPr>
        <w:t>Understand and accept setting</w:t>
      </w:r>
      <w:r>
        <w:rPr>
          <w:b/>
          <w:bCs/>
        </w:rPr>
        <w:t>’</w:t>
      </w:r>
      <w:r w:rsidRPr="0015766A">
        <w:rPr>
          <w:b/>
          <w:bCs/>
        </w:rPr>
        <w:t>s risk mitigations: FACTs (including 2m adult to adult distancing)</w:t>
      </w:r>
    </w:p>
    <w:p w14:paraId="77394DE6" w14:textId="77777777" w:rsidR="002E013D" w:rsidRPr="002E013D" w:rsidRDefault="002E013D" w:rsidP="002E013D">
      <w:pPr>
        <w:ind w:left="360"/>
        <w:rPr>
          <w:b/>
          <w:bCs/>
          <w:u w:val="single"/>
        </w:rPr>
      </w:pPr>
      <w:r w:rsidRPr="002E013D">
        <w:rPr>
          <w:b/>
          <w:bCs/>
          <w:u w:val="single"/>
        </w:rPr>
        <w:t>GUIDANCE NOTE – WORKFORCE SUPPLY (Staff supporting in other schools)</w:t>
      </w:r>
    </w:p>
    <w:p w14:paraId="6C6E7B52" w14:textId="77777777" w:rsidR="002E013D" w:rsidRPr="002E013D" w:rsidRDefault="002E013D" w:rsidP="002E013D">
      <w:pPr>
        <w:pStyle w:val="ListParagraph"/>
        <w:numPr>
          <w:ilvl w:val="0"/>
          <w:numId w:val="6"/>
        </w:numPr>
        <w:rPr>
          <w:b/>
          <w:bCs/>
          <w:u w:val="single"/>
        </w:rPr>
      </w:pPr>
      <w:hyperlink r:id="rId12" w:history="1">
        <w:r w:rsidRPr="002E013D">
          <w:rPr>
            <w:rStyle w:val="Hyperlink"/>
            <w:b/>
            <w:bCs/>
          </w:rPr>
          <w:t>https://cityofedinburgheducation.sharepoint.com/:w:/r/sites/EdinburghLearns/EdinburghLearnsAtHome/_layouts/15/Doc.aspx?sourcedoc=%7BD2824620-B5ED-46FE-B707-5FA12452D462%7D&amp;file=Guidance%20Note%20Workforce%20Supply%20-%20Staff%20Supporting%20other%20schools%2014.12.21%20v1.docx&amp;action=default&amp;mobileredirect=true</w:t>
        </w:r>
      </w:hyperlink>
    </w:p>
    <w:p w14:paraId="1B1043C7" w14:textId="77777777" w:rsidR="00024742" w:rsidRDefault="00024742" w:rsidP="00024742">
      <w:pPr>
        <w:pStyle w:val="ListParagraph"/>
        <w:rPr>
          <w:b/>
          <w:bCs/>
        </w:rPr>
      </w:pPr>
    </w:p>
    <w:p w14:paraId="286081F6" w14:textId="2AB20C34" w:rsidR="00024742" w:rsidRPr="00024742" w:rsidRDefault="002E013D" w:rsidP="00024742">
      <w:pPr>
        <w:pStyle w:val="ListParagraph"/>
        <w:rPr>
          <w:b/>
          <w:bCs/>
        </w:rPr>
      </w:pPr>
      <w:r>
        <w:rPr>
          <w:b/>
          <w:bCs/>
        </w:rPr>
        <w:t xml:space="preserve">Visits by </w:t>
      </w:r>
      <w:r w:rsidR="00024742">
        <w:rPr>
          <w:b/>
          <w:bCs/>
        </w:rPr>
        <w:t>Parents/carers</w:t>
      </w:r>
    </w:p>
    <w:p w14:paraId="72AD84C2" w14:textId="2BB79B28" w:rsidR="0015766A" w:rsidRDefault="00024742" w:rsidP="00024742">
      <w:pPr>
        <w:pStyle w:val="ListParagraph"/>
        <w:numPr>
          <w:ilvl w:val="0"/>
          <w:numId w:val="11"/>
        </w:numPr>
      </w:pPr>
      <w:r w:rsidRPr="00024742">
        <w:t xml:space="preserve">Parents/carers may attend school premises </w:t>
      </w:r>
      <w:r>
        <w:t xml:space="preserve">for individual visits </w:t>
      </w:r>
      <w:r w:rsidRPr="00024742">
        <w:t xml:space="preserve">where this is agreed with the school and is considered necessary to support children and young people </w:t>
      </w:r>
      <w:r>
        <w:t>(</w:t>
      </w:r>
      <w:r w:rsidRPr="00024742">
        <w:t>wellbeing, progress and behaviour of children</w:t>
      </w:r>
      <w:r>
        <w:t>)</w:t>
      </w:r>
    </w:p>
    <w:p w14:paraId="3DC818FC" w14:textId="23522569" w:rsidR="00024742" w:rsidRPr="00024742" w:rsidRDefault="00024742" w:rsidP="00024742">
      <w:pPr>
        <w:pStyle w:val="ListParagraph"/>
        <w:numPr>
          <w:ilvl w:val="0"/>
          <w:numId w:val="11"/>
        </w:numPr>
      </w:pPr>
      <w:r>
        <w:t>P</w:t>
      </w:r>
      <w:r w:rsidRPr="00024742">
        <w:t>arents/carers may attend school premises to spectate at outdoor school sports events, providing all activity is consistent with relevant Scottish Government guidance on health, physical distancing, and hygiene</w:t>
      </w:r>
    </w:p>
    <w:p w14:paraId="7D2B74C8" w14:textId="77777777" w:rsidR="00E07294" w:rsidRDefault="00E07294" w:rsidP="00024742">
      <w:pPr>
        <w:pStyle w:val="ListParagraph"/>
        <w:ind w:left="360"/>
        <w:rPr>
          <w:b/>
          <w:bCs/>
        </w:rPr>
      </w:pPr>
    </w:p>
    <w:p w14:paraId="2107CF2D" w14:textId="73D569A5" w:rsidR="003B3A11" w:rsidRDefault="00594607" w:rsidP="003B3A11">
      <w:pPr>
        <w:pStyle w:val="ListParagraph"/>
        <w:numPr>
          <w:ilvl w:val="0"/>
          <w:numId w:val="8"/>
        </w:numPr>
        <w:rPr>
          <w:b/>
          <w:bCs/>
        </w:rPr>
      </w:pPr>
      <w:r w:rsidRPr="00594607">
        <w:rPr>
          <w:b/>
          <w:bCs/>
        </w:rPr>
        <w:t>Activities or clubs outside the usual school timetable</w:t>
      </w:r>
      <w:r w:rsidR="002E013D">
        <w:rPr>
          <w:b/>
          <w:bCs/>
        </w:rPr>
        <w:t>, including Lets</w:t>
      </w:r>
      <w:r w:rsidR="00E87403" w:rsidRPr="00E07294">
        <w:rPr>
          <w:b/>
          <w:bCs/>
        </w:rPr>
        <w:t xml:space="preserve"> (para 28-35</w:t>
      </w:r>
      <w:r w:rsidR="002E013D">
        <w:rPr>
          <w:b/>
          <w:bCs/>
        </w:rPr>
        <w:t xml:space="preserve"> &amp; Annex A</w:t>
      </w:r>
      <w:r w:rsidR="00E87403" w:rsidRPr="00E07294">
        <w:rPr>
          <w:b/>
          <w:bCs/>
        </w:rPr>
        <w:t xml:space="preserve">) </w:t>
      </w:r>
    </w:p>
    <w:p w14:paraId="6B123CB7" w14:textId="77777777" w:rsidR="002E013D" w:rsidRDefault="002E013D" w:rsidP="002E013D">
      <w:pPr>
        <w:pStyle w:val="ListParagraph"/>
        <w:numPr>
          <w:ilvl w:val="0"/>
          <w:numId w:val="5"/>
        </w:numPr>
      </w:pPr>
      <w:r w:rsidRPr="002E013D">
        <w:t xml:space="preserve">These are important for wider health and development of children and </w:t>
      </w:r>
      <w:r>
        <w:t>to promote wider achievement opportunities</w:t>
      </w:r>
    </w:p>
    <w:p w14:paraId="5A0AE01B" w14:textId="3E2DFE9A" w:rsidR="002E013D" w:rsidRDefault="002E013D" w:rsidP="002E013D">
      <w:pPr>
        <w:pStyle w:val="ListParagraph"/>
        <w:numPr>
          <w:ilvl w:val="0"/>
          <w:numId w:val="5"/>
        </w:numPr>
      </w:pPr>
      <w:r>
        <w:t>C</w:t>
      </w:r>
      <w:r w:rsidRPr="002E013D">
        <w:t>an be conducted subject to following guidance for schools, and guidance for the general public where applicable.  Schools should consider the need for out of hours cleaning when scheduling activities</w:t>
      </w:r>
      <w:r>
        <w:t xml:space="preserve"> (p230)</w:t>
      </w:r>
    </w:p>
    <w:p w14:paraId="5A2B57A3" w14:textId="5E359BCC" w:rsidR="00024742" w:rsidRDefault="00024742" w:rsidP="002E013D">
      <w:pPr>
        <w:pStyle w:val="ListParagraph"/>
        <w:numPr>
          <w:ilvl w:val="0"/>
          <w:numId w:val="5"/>
        </w:numPr>
      </w:pPr>
      <w:r>
        <w:t>This includes community use after 6:00pm, on Friday afternoons and at weekends</w:t>
      </w:r>
    </w:p>
    <w:p w14:paraId="49A6D3C0" w14:textId="4F39B9D5" w:rsidR="002E013D" w:rsidRPr="002E013D" w:rsidRDefault="002E013D" w:rsidP="002E013D">
      <w:pPr>
        <w:pStyle w:val="ListParagraph"/>
        <w:numPr>
          <w:ilvl w:val="0"/>
          <w:numId w:val="5"/>
        </w:numPr>
      </w:pPr>
      <w:r w:rsidRPr="002E013D">
        <w:t>community-based interventions and community learning and development programmes, including those that involve adults learning within school settings, may also make use of school premises if that is necessary</w:t>
      </w:r>
      <w:r w:rsidRPr="002E013D">
        <w:t xml:space="preserve"> (p32)</w:t>
      </w:r>
    </w:p>
    <w:p w14:paraId="336B1F3C" w14:textId="77777777" w:rsidR="00E07294" w:rsidRPr="00E07294" w:rsidRDefault="00E07294" w:rsidP="00E07294">
      <w:pPr>
        <w:pStyle w:val="ListParagraph"/>
        <w:ind w:left="360"/>
        <w:rPr>
          <w:b/>
          <w:bCs/>
        </w:rPr>
      </w:pPr>
    </w:p>
    <w:p w14:paraId="22D76805" w14:textId="6A563D24" w:rsidR="0015766A" w:rsidRDefault="00E87403" w:rsidP="0015766A">
      <w:pPr>
        <w:pStyle w:val="ListParagraph"/>
        <w:numPr>
          <w:ilvl w:val="0"/>
          <w:numId w:val="8"/>
        </w:numPr>
      </w:pPr>
      <w:r w:rsidRPr="0015766A">
        <w:rPr>
          <w:b/>
          <w:bCs/>
        </w:rPr>
        <w:t>Updated guidance on the required approach to ventilation and CO2 monitoring</w:t>
      </w:r>
      <w:r>
        <w:t xml:space="preserve"> </w:t>
      </w:r>
      <w:r w:rsidRPr="0015766A">
        <w:rPr>
          <w:b/>
          <w:bCs/>
        </w:rPr>
        <w:t>(paras 36-45)</w:t>
      </w:r>
      <w:r>
        <w:t xml:space="preserve"> </w:t>
      </w:r>
    </w:p>
    <w:p w14:paraId="61F1FCA7" w14:textId="1B7674AD" w:rsidR="00904AE9" w:rsidRPr="00904AE9" w:rsidRDefault="0015766A" w:rsidP="00904AE9">
      <w:pPr>
        <w:pStyle w:val="ListParagraph"/>
        <w:numPr>
          <w:ilvl w:val="1"/>
          <w:numId w:val="8"/>
        </w:numPr>
        <w:rPr>
          <w:b/>
          <w:bCs/>
          <w:u w:val="single"/>
        </w:rPr>
      </w:pPr>
      <w:r>
        <w:t>expectation of regular assessment of CO2 levels and appropriate remedial action when problems are identified</w:t>
      </w:r>
    </w:p>
    <w:p w14:paraId="337F1635" w14:textId="68E17CFB" w:rsidR="0015766A" w:rsidRPr="00CF75D1" w:rsidRDefault="00904AE9" w:rsidP="00024742">
      <w:pPr>
        <w:pStyle w:val="ListParagraph"/>
        <w:numPr>
          <w:ilvl w:val="1"/>
          <w:numId w:val="8"/>
        </w:numPr>
        <w:rPr>
          <w:b/>
          <w:bCs/>
          <w:u w:val="single"/>
        </w:rPr>
      </w:pPr>
      <w:proofErr w:type="gramStart"/>
      <w:r w:rsidRPr="00904AE9">
        <w:t>Sufficient</w:t>
      </w:r>
      <w:proofErr w:type="gramEnd"/>
      <w:r w:rsidRPr="00904AE9">
        <w:t xml:space="preserve"> monitors should </w:t>
      </w:r>
      <w:r>
        <w:t>be</w:t>
      </w:r>
      <w:r w:rsidRPr="00904AE9">
        <w:t xml:space="preserve"> available to enable ongoing decision-making by staff about balancing ventilation (including by opening of doors and windows) with temperature during the winter months, taking account of changes in weather conditions</w:t>
      </w:r>
    </w:p>
    <w:p w14:paraId="2D849156" w14:textId="50F7E472" w:rsidR="00CF75D1" w:rsidRPr="00CF75D1" w:rsidRDefault="00CF75D1" w:rsidP="00024742">
      <w:pPr>
        <w:pStyle w:val="ListParagraph"/>
        <w:numPr>
          <w:ilvl w:val="1"/>
          <w:numId w:val="8"/>
        </w:numPr>
      </w:pPr>
      <w:r>
        <w:t>F</w:t>
      </w:r>
      <w:r w:rsidRPr="00CF75D1">
        <w:t>lexible uniform/staff dress policies to help ensure that children, young people and staff can stay warm if/when windows or doors require to be opened</w:t>
      </w:r>
    </w:p>
    <w:p w14:paraId="09748AEA" w14:textId="77777777" w:rsidR="0015766A" w:rsidRDefault="0015766A" w:rsidP="0015766A"/>
    <w:p w14:paraId="44E5D554" w14:textId="7A6250E9" w:rsidR="0015766A" w:rsidRDefault="00E87403" w:rsidP="0015766A">
      <w:pPr>
        <w:pStyle w:val="ListParagraph"/>
        <w:numPr>
          <w:ilvl w:val="0"/>
          <w:numId w:val="8"/>
        </w:numPr>
        <w:rPr>
          <w:b/>
          <w:bCs/>
        </w:rPr>
      </w:pPr>
      <w:r w:rsidRPr="0015766A">
        <w:rPr>
          <w:b/>
          <w:bCs/>
        </w:rPr>
        <w:lastRenderedPageBreak/>
        <w:t xml:space="preserve">Updated text on asymptomatic testing, specifically the processes to be followed when distributing test kits (paras 46-52) </w:t>
      </w:r>
    </w:p>
    <w:p w14:paraId="28C6E831" w14:textId="77777777" w:rsidR="0015766A" w:rsidRPr="0015766A" w:rsidRDefault="0015766A" w:rsidP="0015766A">
      <w:pPr>
        <w:rPr>
          <w:b/>
          <w:bCs/>
        </w:rPr>
      </w:pPr>
    </w:p>
    <w:p w14:paraId="6D66AB69" w14:textId="6A7B65E0" w:rsidR="003B3A11" w:rsidRDefault="00E87403" w:rsidP="003B3A11">
      <w:pPr>
        <w:pStyle w:val="ListParagraph"/>
        <w:numPr>
          <w:ilvl w:val="0"/>
          <w:numId w:val="8"/>
        </w:numPr>
        <w:rPr>
          <w:b/>
          <w:bCs/>
        </w:rPr>
      </w:pPr>
      <w:r w:rsidRPr="00031F22">
        <w:rPr>
          <w:b/>
          <w:bCs/>
        </w:rPr>
        <w:t xml:space="preserve">A strengthened approach to self-isolation for high risk / household contacts, whereby they are required to self-isolate for 10 days regardless of age, vaccination status or a negative PCR result (para 53) </w:t>
      </w:r>
    </w:p>
    <w:p w14:paraId="2020E76B" w14:textId="77777777" w:rsidR="00CF75D1" w:rsidRDefault="00CF75D1" w:rsidP="00CF75D1">
      <w:pPr>
        <w:pStyle w:val="ListParagraph"/>
        <w:numPr>
          <w:ilvl w:val="1"/>
          <w:numId w:val="8"/>
        </w:numPr>
      </w:pPr>
      <w:r>
        <w:t xml:space="preserve">TAP </w:t>
      </w:r>
      <w:r w:rsidRPr="00CF75D1">
        <w:t>will, through the contact tracing system, identify those contacts where there is a higher risk of transmission and ask them to self-isolate and take a PCR test</w:t>
      </w:r>
    </w:p>
    <w:p w14:paraId="1B003039" w14:textId="79117CD1" w:rsidR="00CF75D1" w:rsidRDefault="00CF75D1" w:rsidP="00CF75D1">
      <w:pPr>
        <w:pStyle w:val="ListParagraph"/>
        <w:numPr>
          <w:ilvl w:val="1"/>
          <w:numId w:val="8"/>
        </w:numPr>
      </w:pPr>
      <w:r>
        <w:t>O</w:t>
      </w:r>
      <w:r w:rsidRPr="00CF75D1">
        <w:t xml:space="preserve">ther low risk contacts will be identified by schools when they are informed of positive </w:t>
      </w:r>
      <w:proofErr w:type="gramStart"/>
      <w:r w:rsidRPr="00CF75D1">
        <w:t>cases, and</w:t>
      </w:r>
      <w:proofErr w:type="gramEnd"/>
      <w:r w:rsidRPr="00CF75D1">
        <w:t xml:space="preserve"> sent information letters that advise them to take certain mitigating actions. These actions do not require self-</w:t>
      </w:r>
      <w:proofErr w:type="gramStart"/>
      <w:r w:rsidRPr="00CF75D1">
        <w:t>isolation, but</w:t>
      </w:r>
      <w:proofErr w:type="gramEnd"/>
      <w:r w:rsidRPr="00CF75D1">
        <w:t xml:space="preserve"> include important advice on LFD testing and other mitigating actions.</w:t>
      </w:r>
    </w:p>
    <w:p w14:paraId="2EEE6998" w14:textId="70C5E224" w:rsidR="00CF75D1" w:rsidRPr="00232319" w:rsidRDefault="00CF75D1" w:rsidP="00CF75D1">
      <w:pPr>
        <w:ind w:left="720"/>
        <w:rPr>
          <w:b/>
          <w:bCs/>
        </w:rPr>
      </w:pPr>
      <w:r w:rsidRPr="00232319">
        <w:rPr>
          <w:b/>
          <w:bCs/>
        </w:rPr>
        <w:t>Self-isolation</w:t>
      </w:r>
    </w:p>
    <w:p w14:paraId="1617518A" w14:textId="4F1401A5" w:rsidR="00B11203" w:rsidRDefault="00CF75D1" w:rsidP="00B11203">
      <w:pPr>
        <w:pStyle w:val="ListParagraph"/>
        <w:numPr>
          <w:ilvl w:val="0"/>
          <w:numId w:val="12"/>
        </w:numPr>
      </w:pPr>
      <w:r w:rsidRPr="00CF75D1">
        <w:t>Any adult or child who develops symptoms of COVID-19 (high temperature, new continuous cough or a loss or change to sense of smell or taste)</w:t>
      </w:r>
      <w:r>
        <w:t>, or has a positive LFT,</w:t>
      </w:r>
      <w:r w:rsidRPr="00CF75D1">
        <w:t xml:space="preserve"> must self-isolate immediately in line with NHS Guidance. NB: People living in the same household, for example any siblings, must also isolate while awaiting the outcome of the test result of the case (adult or child)</w:t>
      </w:r>
    </w:p>
    <w:p w14:paraId="236A0F41" w14:textId="77777777" w:rsidR="00B11203" w:rsidRPr="00232319" w:rsidRDefault="00B11203" w:rsidP="00B11203">
      <w:pPr>
        <w:ind w:left="720"/>
        <w:rPr>
          <w:b/>
          <w:bCs/>
        </w:rPr>
      </w:pPr>
      <w:bookmarkStart w:id="0" w:name="_GoBack"/>
      <w:r w:rsidRPr="00232319">
        <w:rPr>
          <w:b/>
          <w:bCs/>
        </w:rPr>
        <w:t xml:space="preserve">Identifying high risk contacts of adults e.g. staff members who test positive </w:t>
      </w:r>
    </w:p>
    <w:bookmarkEnd w:id="0"/>
    <w:p w14:paraId="3FD76646" w14:textId="77777777" w:rsidR="00B11203" w:rsidRDefault="00B11203" w:rsidP="00B11203">
      <w:pPr>
        <w:pStyle w:val="ListParagraph"/>
        <w:numPr>
          <w:ilvl w:val="0"/>
          <w:numId w:val="12"/>
        </w:numPr>
      </w:pPr>
      <w:r>
        <w:t xml:space="preserve">Household members (children, partner, etc.) and any other adults who were within 2 metres of them for more than 15 minutes; who they saw more than once for shorter times that add up to 15 minutes; or who they were face to face with (within 1 metre) for any amount of time. </w:t>
      </w:r>
    </w:p>
    <w:p w14:paraId="4156496E" w14:textId="5430A26C" w:rsidR="00031F22" w:rsidRPr="00B11203" w:rsidRDefault="00B11203" w:rsidP="00B11203">
      <w:pPr>
        <w:pStyle w:val="ListParagraph"/>
        <w:numPr>
          <w:ilvl w:val="0"/>
          <w:numId w:val="12"/>
        </w:numPr>
        <w:rPr>
          <w:b/>
          <w:bCs/>
        </w:rPr>
      </w:pPr>
      <w:r>
        <w:t xml:space="preserve">This includes people in their household, but could also, for example, include school colleagues they have worked closely with, or socialised or shared a car with. All of these adults are classed as </w:t>
      </w:r>
      <w:proofErr w:type="gramStart"/>
      <w:r>
        <w:t>high risk</w:t>
      </w:r>
      <w:proofErr w:type="gramEnd"/>
      <w:r>
        <w:t xml:space="preserve"> contacts </w:t>
      </w:r>
    </w:p>
    <w:p w14:paraId="24E1682B" w14:textId="0BEC1992" w:rsidR="00B11203" w:rsidRDefault="00B11203" w:rsidP="00B11203">
      <w:pPr>
        <w:ind w:left="720"/>
        <w:rPr>
          <w:b/>
          <w:bCs/>
        </w:rPr>
      </w:pPr>
      <w:r w:rsidRPr="00B11203">
        <w:rPr>
          <w:b/>
          <w:bCs/>
        </w:rPr>
        <w:t xml:space="preserve">Identifying high </w:t>
      </w:r>
      <w:r>
        <w:rPr>
          <w:b/>
          <w:bCs/>
        </w:rPr>
        <w:t xml:space="preserve">and low </w:t>
      </w:r>
      <w:r w:rsidRPr="00B11203">
        <w:rPr>
          <w:b/>
          <w:bCs/>
        </w:rPr>
        <w:t>risk contacts of children and young people e.g. pupils who test positive</w:t>
      </w:r>
    </w:p>
    <w:p w14:paraId="7A9EE83B" w14:textId="6612B265" w:rsidR="00B11203" w:rsidRPr="00B11203" w:rsidRDefault="00B11203" w:rsidP="00B11203">
      <w:pPr>
        <w:pStyle w:val="ListParagraph"/>
        <w:numPr>
          <w:ilvl w:val="0"/>
          <w:numId w:val="13"/>
        </w:numPr>
      </w:pPr>
      <w:r w:rsidRPr="00B11203">
        <w:t>These include people they live with or who have stayed overnight in their home</w:t>
      </w:r>
    </w:p>
    <w:p w14:paraId="7652BA02" w14:textId="40898900" w:rsidR="00B11203" w:rsidRPr="00B11203" w:rsidRDefault="00B11203" w:rsidP="00B11203">
      <w:pPr>
        <w:pStyle w:val="ListParagraph"/>
        <w:numPr>
          <w:ilvl w:val="0"/>
          <w:numId w:val="13"/>
        </w:numPr>
      </w:pPr>
      <w:r w:rsidRPr="00B11203">
        <w:t xml:space="preserve">Child and young person cases are asked </w:t>
      </w:r>
      <w:r w:rsidRPr="00B11203">
        <w:rPr>
          <w:u w:val="single"/>
        </w:rPr>
        <w:t>not</w:t>
      </w:r>
      <w:r w:rsidRPr="00B11203">
        <w:t xml:space="preserve"> to share contacts from outside the home such as teachers, classroom contacts or friends unless they have had unusually close or prolonged contact with them e.g. provision of close personal care or overnight stays.</w:t>
      </w:r>
      <w:r w:rsidRPr="00B11203">
        <w:t xml:space="preserve"> </w:t>
      </w:r>
      <w:r w:rsidRPr="00B11203">
        <w:t>This is because these non-household child and young person contacts are considered low risk</w:t>
      </w:r>
    </w:p>
    <w:p w14:paraId="721265B5" w14:textId="77777777" w:rsidR="00B11203" w:rsidRPr="00B11203" w:rsidRDefault="00B11203" w:rsidP="00B11203">
      <w:pPr>
        <w:pStyle w:val="ListParagraph"/>
        <w:ind w:left="360"/>
        <w:rPr>
          <w:b/>
          <w:bCs/>
        </w:rPr>
      </w:pPr>
    </w:p>
    <w:p w14:paraId="7D0F2E91" w14:textId="7DE10D70" w:rsidR="00031F22" w:rsidRPr="0015766A" w:rsidRDefault="00E87403" w:rsidP="0015766A">
      <w:pPr>
        <w:pStyle w:val="ListParagraph"/>
        <w:numPr>
          <w:ilvl w:val="0"/>
          <w:numId w:val="8"/>
        </w:numPr>
        <w:rPr>
          <w:b/>
          <w:bCs/>
        </w:rPr>
      </w:pPr>
      <w:r w:rsidRPr="00031F22">
        <w:rPr>
          <w:b/>
          <w:bCs/>
        </w:rPr>
        <w:t xml:space="preserve">Details relating to school staff eligibility for exemption from self-isolation under the critical worker guidance (paras 84-93) </w:t>
      </w:r>
    </w:p>
    <w:p w14:paraId="43C127BD" w14:textId="77FE7897" w:rsidR="00B11203" w:rsidRPr="00B11203" w:rsidRDefault="00B11203" w:rsidP="00B11203">
      <w:pPr>
        <w:pStyle w:val="ListParagraph"/>
        <w:numPr>
          <w:ilvl w:val="0"/>
          <w:numId w:val="14"/>
        </w:numPr>
        <w:ind w:left="1080"/>
      </w:pPr>
      <w:r w:rsidRPr="00B11203">
        <w:t xml:space="preserve">In the case of schools, this means considering exemptions in order to avoid school buildings closing and avoiding moving to remote learning where possible.  </w:t>
      </w:r>
    </w:p>
    <w:p w14:paraId="641E5B05" w14:textId="77777777" w:rsidR="00B11203" w:rsidRPr="00B11203" w:rsidRDefault="00B11203" w:rsidP="00B11203">
      <w:pPr>
        <w:pStyle w:val="ListParagraph"/>
        <w:numPr>
          <w:ilvl w:val="0"/>
          <w:numId w:val="14"/>
        </w:numPr>
        <w:ind w:left="1080"/>
      </w:pPr>
      <w:r w:rsidRPr="00B11203">
        <w:t xml:space="preserve">88. Staff who volunteer not to self-isolate must only do so following a risk assessment of their personal circumstances, and the employers’ duty of care to all their employees must be respected. </w:t>
      </w:r>
    </w:p>
    <w:p w14:paraId="7B96B517" w14:textId="448CDF7A" w:rsidR="00B11203" w:rsidRPr="00B11203" w:rsidRDefault="00B11203" w:rsidP="00B11203">
      <w:pPr>
        <w:pStyle w:val="ListParagraph"/>
        <w:ind w:left="1080" w:firstLine="50"/>
      </w:pPr>
    </w:p>
    <w:p w14:paraId="6774AEAD" w14:textId="77777777" w:rsidR="00B11203" w:rsidRDefault="00B11203" w:rsidP="00B11203">
      <w:pPr>
        <w:pStyle w:val="ListParagraph"/>
        <w:numPr>
          <w:ilvl w:val="0"/>
          <w:numId w:val="14"/>
        </w:numPr>
        <w:ind w:left="1080"/>
      </w:pPr>
      <w:r w:rsidRPr="00B11203">
        <w:lastRenderedPageBreak/>
        <w:t>89. Under the process, before a staff member who is a close contact of a positive case can return to work, they must meet the criteria as set out in the guidance for critical workers exemptions</w:t>
      </w:r>
      <w:r>
        <w:t>:</w:t>
      </w:r>
      <w:r w:rsidRPr="00B11203">
        <w:t xml:space="preserve"> </w:t>
      </w:r>
    </w:p>
    <w:p w14:paraId="025E1292" w14:textId="77777777" w:rsidR="00B11203" w:rsidRDefault="00B11203" w:rsidP="00B11203">
      <w:pPr>
        <w:pStyle w:val="ListParagraph"/>
      </w:pPr>
    </w:p>
    <w:p w14:paraId="3432E0DA" w14:textId="77777777" w:rsidR="00B11203" w:rsidRDefault="00B11203" w:rsidP="00B11203">
      <w:pPr>
        <w:pStyle w:val="ListParagraph"/>
        <w:numPr>
          <w:ilvl w:val="2"/>
          <w:numId w:val="14"/>
        </w:numPr>
      </w:pPr>
      <w:r w:rsidRPr="00B11203">
        <w:t xml:space="preserve">have had their second COVID-19 vaccination more than 14 days ago </w:t>
      </w:r>
    </w:p>
    <w:p w14:paraId="45891473" w14:textId="77777777" w:rsidR="00174BF4" w:rsidRDefault="00B11203" w:rsidP="00B11203">
      <w:pPr>
        <w:pStyle w:val="ListParagraph"/>
        <w:numPr>
          <w:ilvl w:val="2"/>
          <w:numId w:val="14"/>
        </w:numPr>
      </w:pPr>
      <w:r w:rsidRPr="00B11203">
        <w:t xml:space="preserve">have a valid vaccination record </w:t>
      </w:r>
    </w:p>
    <w:p w14:paraId="6BF02BD5" w14:textId="77777777" w:rsidR="00174BF4" w:rsidRDefault="00174BF4" w:rsidP="00B11203">
      <w:pPr>
        <w:pStyle w:val="ListParagraph"/>
        <w:numPr>
          <w:ilvl w:val="2"/>
          <w:numId w:val="14"/>
        </w:numPr>
      </w:pPr>
      <w:r>
        <w:t xml:space="preserve">do </w:t>
      </w:r>
      <w:r w:rsidR="00B11203" w:rsidRPr="00B11203">
        <w:t>not have symptoms of COVID-19</w:t>
      </w:r>
    </w:p>
    <w:p w14:paraId="1FB7D2CA" w14:textId="77777777" w:rsidR="00174BF4" w:rsidRDefault="00B11203" w:rsidP="00B11203">
      <w:pPr>
        <w:pStyle w:val="ListParagraph"/>
        <w:numPr>
          <w:ilvl w:val="2"/>
          <w:numId w:val="14"/>
        </w:numPr>
      </w:pPr>
      <w:r w:rsidRPr="00B11203">
        <w:t xml:space="preserve">have evidence of a negative PCR test </w:t>
      </w:r>
    </w:p>
    <w:p w14:paraId="3C8F3076" w14:textId="77777777" w:rsidR="00174BF4" w:rsidRDefault="00B11203" w:rsidP="00B11203">
      <w:pPr>
        <w:pStyle w:val="ListParagraph"/>
        <w:numPr>
          <w:ilvl w:val="2"/>
          <w:numId w:val="14"/>
        </w:numPr>
      </w:pPr>
      <w:r w:rsidRPr="00B11203">
        <w:t>take daily lateral flow tests for up to 10 days after being exposed to the virus</w:t>
      </w:r>
    </w:p>
    <w:p w14:paraId="18A97483" w14:textId="77777777" w:rsidR="00174BF4" w:rsidRDefault="00B11203" w:rsidP="00174BF4">
      <w:pPr>
        <w:pStyle w:val="ListParagraph"/>
        <w:numPr>
          <w:ilvl w:val="2"/>
          <w:numId w:val="14"/>
        </w:numPr>
      </w:pPr>
      <w:r w:rsidRPr="00B11203">
        <w:t xml:space="preserve">fully comply with any PPE requirements, hand hygiene and other infection control measures </w:t>
      </w:r>
    </w:p>
    <w:p w14:paraId="4407DF52" w14:textId="7EEE57C1" w:rsidR="00031F22" w:rsidRPr="00B11203" w:rsidRDefault="00B11203" w:rsidP="00174BF4">
      <w:pPr>
        <w:pStyle w:val="ListParagraph"/>
        <w:numPr>
          <w:ilvl w:val="2"/>
          <w:numId w:val="14"/>
        </w:numPr>
      </w:pPr>
      <w:r w:rsidRPr="00B11203">
        <w:t>90. Staff who cannot reasonably isolate from on-going exposure to a COVID-19 positive household member should not volunteer to return to work.</w:t>
      </w:r>
    </w:p>
    <w:p w14:paraId="2830DB15" w14:textId="77777777" w:rsidR="00B11203" w:rsidRPr="00031F22" w:rsidRDefault="00B11203" w:rsidP="00B11203">
      <w:pPr>
        <w:pStyle w:val="ListParagraph"/>
        <w:ind w:left="360"/>
        <w:rPr>
          <w:b/>
          <w:bCs/>
        </w:rPr>
      </w:pPr>
    </w:p>
    <w:p w14:paraId="11F2C1A0" w14:textId="05ED2E58" w:rsidR="003B3A11" w:rsidRDefault="00E87403" w:rsidP="003B3A11">
      <w:pPr>
        <w:pStyle w:val="ListParagraph"/>
        <w:numPr>
          <w:ilvl w:val="0"/>
          <w:numId w:val="8"/>
        </w:numPr>
        <w:rPr>
          <w:b/>
          <w:bCs/>
        </w:rPr>
      </w:pPr>
      <w:r w:rsidRPr="00031F22">
        <w:rPr>
          <w:b/>
          <w:bCs/>
        </w:rPr>
        <w:t xml:space="preserve">An update to guidance on school visits and trips in order to reflect the above ‘in school’ mitigations (paras 99-101) </w:t>
      </w:r>
    </w:p>
    <w:p w14:paraId="7717A175" w14:textId="77777777" w:rsidR="00031F22" w:rsidRPr="00031F22" w:rsidRDefault="00031F22" w:rsidP="00031F22">
      <w:pPr>
        <w:pStyle w:val="ListParagraph"/>
        <w:ind w:left="360"/>
        <w:rPr>
          <w:b/>
          <w:bCs/>
        </w:rPr>
      </w:pPr>
    </w:p>
    <w:p w14:paraId="6818478B" w14:textId="28FAC3EF" w:rsidR="00E87403" w:rsidRPr="00031F22" w:rsidRDefault="00E87403" w:rsidP="003B3A11">
      <w:pPr>
        <w:pStyle w:val="ListParagraph"/>
        <w:numPr>
          <w:ilvl w:val="0"/>
          <w:numId w:val="8"/>
        </w:numPr>
        <w:rPr>
          <w:b/>
          <w:bCs/>
        </w:rPr>
      </w:pPr>
      <w:r w:rsidRPr="00031F22">
        <w:rPr>
          <w:b/>
          <w:bCs/>
        </w:rPr>
        <w:t xml:space="preserve">A requirement that schools and local authorities continue to provide essential in-person support for </w:t>
      </w:r>
      <w:proofErr w:type="gramStart"/>
      <w:r w:rsidRPr="00031F22">
        <w:rPr>
          <w:b/>
          <w:bCs/>
        </w:rPr>
        <w:t>particular groups</w:t>
      </w:r>
      <w:proofErr w:type="gramEnd"/>
      <w:r w:rsidRPr="00031F22">
        <w:rPr>
          <w:b/>
          <w:bCs/>
        </w:rPr>
        <w:t xml:space="preserve"> (including vulnerable children and young people) in the event of temporary school closures at a local level (Annex A, para 192)  </w:t>
      </w:r>
    </w:p>
    <w:p w14:paraId="0EEE7CE8" w14:textId="609A0E3F" w:rsidR="00EE6CFF" w:rsidRPr="00031F22" w:rsidRDefault="00E87403" w:rsidP="00EE6CFF">
      <w:r>
        <w:t xml:space="preserve"> </w:t>
      </w:r>
    </w:p>
    <w:p w14:paraId="468EB6C4" w14:textId="77777777" w:rsidR="00EA7F92" w:rsidRPr="00F451DF" w:rsidRDefault="00EA7F92" w:rsidP="00F451DF">
      <w:pPr>
        <w:rPr>
          <w:b/>
          <w:bCs/>
          <w:u w:val="single"/>
        </w:rPr>
      </w:pPr>
    </w:p>
    <w:sectPr w:rsidR="00EA7F92" w:rsidRPr="00F451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0190E"/>
    <w:multiLevelType w:val="multilevel"/>
    <w:tmpl w:val="F9446F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EC5AF3"/>
    <w:multiLevelType w:val="hybridMultilevel"/>
    <w:tmpl w:val="CC2AFE4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1AB52F5"/>
    <w:multiLevelType w:val="hybridMultilevel"/>
    <w:tmpl w:val="9B1AD0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BF87ED7"/>
    <w:multiLevelType w:val="hybridMultilevel"/>
    <w:tmpl w:val="EAA0A3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5C1313"/>
    <w:multiLevelType w:val="multilevel"/>
    <w:tmpl w:val="6C08FB74"/>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3D3F5D01"/>
    <w:multiLevelType w:val="hybridMultilevel"/>
    <w:tmpl w:val="7FC8988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50E65F5"/>
    <w:multiLevelType w:val="hybridMultilevel"/>
    <w:tmpl w:val="6D6A0FA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15911EB"/>
    <w:multiLevelType w:val="hybridMultilevel"/>
    <w:tmpl w:val="15D84BC2"/>
    <w:lvl w:ilvl="0" w:tplc="08090003">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3E40A49"/>
    <w:multiLevelType w:val="hybridMultilevel"/>
    <w:tmpl w:val="02F00408"/>
    <w:lvl w:ilvl="0" w:tplc="07A8F448">
      <w:start w:val="2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1E0EFE"/>
    <w:multiLevelType w:val="multilevel"/>
    <w:tmpl w:val="F944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8E57E6"/>
    <w:multiLevelType w:val="hybridMultilevel"/>
    <w:tmpl w:val="93640B4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DEA780A"/>
    <w:multiLevelType w:val="hybridMultilevel"/>
    <w:tmpl w:val="A6F0E09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F3F120F"/>
    <w:multiLevelType w:val="multilevel"/>
    <w:tmpl w:val="F944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8"/>
  </w:num>
  <w:num w:numId="8">
    <w:abstractNumId w:val="3"/>
  </w:num>
  <w:num w:numId="9">
    <w:abstractNumId w:val="1"/>
  </w:num>
  <w:num w:numId="10">
    <w:abstractNumId w:val="7"/>
  </w:num>
  <w:num w:numId="11">
    <w:abstractNumId w:val="6"/>
  </w:num>
  <w:num w:numId="12">
    <w:abstractNumId w:val="11"/>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1DF"/>
    <w:rsid w:val="00024742"/>
    <w:rsid w:val="00031F22"/>
    <w:rsid w:val="0005060C"/>
    <w:rsid w:val="000E1FCC"/>
    <w:rsid w:val="0015766A"/>
    <w:rsid w:val="00174BF4"/>
    <w:rsid w:val="00232319"/>
    <w:rsid w:val="002E013D"/>
    <w:rsid w:val="00323EEC"/>
    <w:rsid w:val="00341426"/>
    <w:rsid w:val="003B3A11"/>
    <w:rsid w:val="00594607"/>
    <w:rsid w:val="007C3C07"/>
    <w:rsid w:val="00904AE9"/>
    <w:rsid w:val="00B11203"/>
    <w:rsid w:val="00C17B6A"/>
    <w:rsid w:val="00CF75D1"/>
    <w:rsid w:val="00D805E3"/>
    <w:rsid w:val="00E07294"/>
    <w:rsid w:val="00E87403"/>
    <w:rsid w:val="00EA7F92"/>
    <w:rsid w:val="00EE6CFF"/>
    <w:rsid w:val="00F45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D32D4"/>
  <w15:chartTrackingRefBased/>
  <w15:docId w15:val="{4BCAB5CD-BE4C-4AB8-B4E6-525D29A6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451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451DF"/>
  </w:style>
  <w:style w:type="character" w:customStyle="1" w:styleId="eop">
    <w:name w:val="eop"/>
    <w:basedOn w:val="DefaultParagraphFont"/>
    <w:rsid w:val="00F451DF"/>
  </w:style>
  <w:style w:type="character" w:styleId="Hyperlink">
    <w:name w:val="Hyperlink"/>
    <w:basedOn w:val="DefaultParagraphFont"/>
    <w:uiPriority w:val="99"/>
    <w:unhideWhenUsed/>
    <w:rsid w:val="00EE6CFF"/>
    <w:rPr>
      <w:color w:val="0563C1"/>
      <w:u w:val="single"/>
    </w:rPr>
  </w:style>
  <w:style w:type="paragraph" w:styleId="ListParagraph">
    <w:name w:val="List Paragraph"/>
    <w:basedOn w:val="Normal"/>
    <w:uiPriority w:val="34"/>
    <w:qFormat/>
    <w:rsid w:val="00EE6CFF"/>
    <w:pPr>
      <w:ind w:left="720"/>
      <w:contextualSpacing/>
    </w:pPr>
  </w:style>
  <w:style w:type="character" w:styleId="UnresolvedMention">
    <w:name w:val="Unresolved Mention"/>
    <w:basedOn w:val="DefaultParagraphFont"/>
    <w:uiPriority w:val="99"/>
    <w:semiHidden/>
    <w:unhideWhenUsed/>
    <w:rsid w:val="00EA7F92"/>
    <w:rPr>
      <w:color w:val="605E5C"/>
      <w:shd w:val="clear" w:color="auto" w:fill="E1DFDD"/>
    </w:rPr>
  </w:style>
  <w:style w:type="character" w:styleId="FollowedHyperlink">
    <w:name w:val="FollowedHyperlink"/>
    <w:basedOn w:val="DefaultParagraphFont"/>
    <w:uiPriority w:val="99"/>
    <w:semiHidden/>
    <w:unhideWhenUsed/>
    <w:rsid w:val="00EA7F92"/>
    <w:rPr>
      <w:color w:val="954F72" w:themeColor="followedHyperlink"/>
      <w:u w:val="single"/>
    </w:rPr>
  </w:style>
  <w:style w:type="paragraph" w:styleId="NoSpacing">
    <w:name w:val="No Spacing"/>
    <w:uiPriority w:val="1"/>
    <w:qFormat/>
    <w:rsid w:val="003B3A11"/>
    <w:pPr>
      <w:spacing w:after="0" w:line="240" w:lineRule="auto"/>
    </w:pPr>
  </w:style>
  <w:style w:type="paragraph" w:styleId="NormalWeb">
    <w:name w:val="Normal (Web)"/>
    <w:basedOn w:val="Normal"/>
    <w:uiPriority w:val="99"/>
    <w:semiHidden/>
    <w:unhideWhenUsed/>
    <w:rsid w:val="0059460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3800">
      <w:bodyDiv w:val="1"/>
      <w:marLeft w:val="0"/>
      <w:marRight w:val="0"/>
      <w:marTop w:val="0"/>
      <w:marBottom w:val="0"/>
      <w:divBdr>
        <w:top w:val="none" w:sz="0" w:space="0" w:color="auto"/>
        <w:left w:val="none" w:sz="0" w:space="0" w:color="auto"/>
        <w:bottom w:val="none" w:sz="0" w:space="0" w:color="auto"/>
        <w:right w:val="none" w:sz="0" w:space="0" w:color="auto"/>
      </w:divBdr>
    </w:div>
    <w:div w:id="731927015">
      <w:bodyDiv w:val="1"/>
      <w:marLeft w:val="0"/>
      <w:marRight w:val="0"/>
      <w:marTop w:val="0"/>
      <w:marBottom w:val="0"/>
      <w:divBdr>
        <w:top w:val="none" w:sz="0" w:space="0" w:color="auto"/>
        <w:left w:val="none" w:sz="0" w:space="0" w:color="auto"/>
        <w:bottom w:val="none" w:sz="0" w:space="0" w:color="auto"/>
        <w:right w:val="none" w:sz="0" w:space="0" w:color="auto"/>
      </w:divBdr>
    </w:div>
    <w:div w:id="1101874586">
      <w:bodyDiv w:val="1"/>
      <w:marLeft w:val="0"/>
      <w:marRight w:val="0"/>
      <w:marTop w:val="0"/>
      <w:marBottom w:val="0"/>
      <w:divBdr>
        <w:top w:val="none" w:sz="0" w:space="0" w:color="auto"/>
        <w:left w:val="none" w:sz="0" w:space="0" w:color="auto"/>
        <w:bottom w:val="none" w:sz="0" w:space="0" w:color="auto"/>
        <w:right w:val="none" w:sz="0" w:space="0" w:color="auto"/>
      </w:divBdr>
    </w:div>
    <w:div w:id="1425682382">
      <w:bodyDiv w:val="1"/>
      <w:marLeft w:val="0"/>
      <w:marRight w:val="0"/>
      <w:marTop w:val="0"/>
      <w:marBottom w:val="0"/>
      <w:divBdr>
        <w:top w:val="none" w:sz="0" w:space="0" w:color="auto"/>
        <w:left w:val="none" w:sz="0" w:space="0" w:color="auto"/>
        <w:bottom w:val="none" w:sz="0" w:space="0" w:color="auto"/>
        <w:right w:val="none" w:sz="0" w:space="0" w:color="auto"/>
      </w:divBdr>
    </w:div>
    <w:div w:id="1530870376">
      <w:bodyDiv w:val="1"/>
      <w:marLeft w:val="0"/>
      <w:marRight w:val="0"/>
      <w:marTop w:val="0"/>
      <w:marBottom w:val="0"/>
      <w:divBdr>
        <w:top w:val="none" w:sz="0" w:space="0" w:color="auto"/>
        <w:left w:val="none" w:sz="0" w:space="0" w:color="auto"/>
        <w:bottom w:val="none" w:sz="0" w:space="0" w:color="auto"/>
        <w:right w:val="none" w:sz="0" w:space="0" w:color="auto"/>
      </w:divBdr>
    </w:div>
    <w:div w:id="1551842938">
      <w:bodyDiv w:val="1"/>
      <w:marLeft w:val="0"/>
      <w:marRight w:val="0"/>
      <w:marTop w:val="0"/>
      <w:marBottom w:val="0"/>
      <w:divBdr>
        <w:top w:val="none" w:sz="0" w:space="0" w:color="auto"/>
        <w:left w:val="none" w:sz="0" w:space="0" w:color="auto"/>
        <w:bottom w:val="none" w:sz="0" w:space="0" w:color="auto"/>
        <w:right w:val="none" w:sz="0" w:space="0" w:color="auto"/>
      </w:divBdr>
    </w:div>
    <w:div w:id="1755473873">
      <w:bodyDiv w:val="1"/>
      <w:marLeft w:val="0"/>
      <w:marRight w:val="0"/>
      <w:marTop w:val="0"/>
      <w:marBottom w:val="0"/>
      <w:divBdr>
        <w:top w:val="none" w:sz="0" w:space="0" w:color="auto"/>
        <w:left w:val="none" w:sz="0" w:space="0" w:color="auto"/>
        <w:bottom w:val="none" w:sz="0" w:space="0" w:color="auto"/>
        <w:right w:val="none" w:sz="0" w:space="0" w:color="auto"/>
      </w:divBdr>
    </w:div>
    <w:div w:id="2018186722">
      <w:bodyDiv w:val="1"/>
      <w:marLeft w:val="0"/>
      <w:marRight w:val="0"/>
      <w:marTop w:val="0"/>
      <w:marBottom w:val="0"/>
      <w:divBdr>
        <w:top w:val="none" w:sz="0" w:space="0" w:color="auto"/>
        <w:left w:val="none" w:sz="0" w:space="0" w:color="auto"/>
        <w:bottom w:val="none" w:sz="0" w:space="0" w:color="auto"/>
        <w:right w:val="none" w:sz="0" w:space="0" w:color="auto"/>
      </w:divBdr>
    </w:div>
    <w:div w:id="213536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ityofedinburgheducation.sharepoint.com/:w:/r/sites/EdinburghLearns/EdinburghLearnsAtHome/_layouts/15/Doc.aspx?sourcedoc=%7BD2824620-B5ED-46FE-B707-5FA12452D462%7D&amp;file=Guidance%20Note%20Workforce%20Supply%20-%20Staff%20Supporting%20other%20schools%2014.12.21%20v1.docx&amp;action=default&amp;mobileredirect=tru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scot/binaries/content/documents/govscot/publications/advice-and-guidance/2020/10/coronavirus-covid-19-guidance-on-reducing-the-risks-in-schools/documents/guidance-on-reducing-the-risks-in-schools-30-october-2020/guidance-on-reducing-the-risks-in-schools-30-october-2020/govscot%3Adocument/Reducing%2BRisks%2Bin%2BSchools%2Bguidance%2B-%2Bversion%2B7.0%2B-%2B17%2BDecember%2B2021.pdf?forceDownload=true" TargetMode="External"/><Relationship Id="rId5" Type="http://schemas.openxmlformats.org/officeDocument/2006/relationships/numbering" Target="numbering.xml"/><Relationship Id="rId10" Type="http://schemas.openxmlformats.org/officeDocument/2006/relationships/hyperlink" Target="https://www.gov.scot/publications/coronavirus-covid-19-guidance-on-reducing-the-risks-in-schools/pages/overview/"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69982C2C81CC488C72D623E395C25D" ma:contentTypeVersion="9" ma:contentTypeDescription="Create a new document." ma:contentTypeScope="" ma:versionID="84d4bd5a5463c9bbbb0273433d3a8e6e">
  <xsd:schema xmlns:xsd="http://www.w3.org/2001/XMLSchema" xmlns:xs="http://www.w3.org/2001/XMLSchema" xmlns:p="http://schemas.microsoft.com/office/2006/metadata/properties" xmlns:ns3="2e224576-7dc8-46e9-b500-e63292c5a4ac" targetNamespace="http://schemas.microsoft.com/office/2006/metadata/properties" ma:root="true" ma:fieldsID="d90cfbe1376c6a2b769aef8b6a4dcf16" ns3:_="">
    <xsd:import namespace="2e224576-7dc8-46e9-b500-e63292c5a4a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24576-7dc8-46e9-b500-e63292c5a4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023E1-0253-421C-86F5-EE308D812C97}">
  <ds:schemaRefs>
    <ds:schemaRef ds:uri="http://purl.org/dc/terms/"/>
    <ds:schemaRef ds:uri="http://schemas.microsoft.com/office/2006/documentManagement/types"/>
    <ds:schemaRef ds:uri="http://schemas.microsoft.com/office/infopath/2007/PartnerControls"/>
    <ds:schemaRef ds:uri="2e224576-7dc8-46e9-b500-e63292c5a4ac"/>
    <ds:schemaRef ds:uri="http://purl.org/dc/elements/1.1/"/>
    <ds:schemaRef ds:uri="http://schemas.microsoft.com/office/2006/metadata/propertie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DEB0986-D99E-41F9-AAE3-34740DE102D9}">
  <ds:schemaRefs>
    <ds:schemaRef ds:uri="http://schemas.microsoft.com/sharepoint/v3/contenttype/forms"/>
  </ds:schemaRefs>
</ds:datastoreItem>
</file>

<file path=customXml/itemProps3.xml><?xml version="1.0" encoding="utf-8"?>
<ds:datastoreItem xmlns:ds="http://schemas.openxmlformats.org/officeDocument/2006/customXml" ds:itemID="{E77429A0-3711-4CC3-A199-5FB207EDA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224576-7dc8-46e9-b500-e63292c5a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DF595D-5B93-49EA-95F8-389B34502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Reid</dc:creator>
  <cp:keywords/>
  <dc:description/>
  <cp:lastModifiedBy>Roberta Porter</cp:lastModifiedBy>
  <cp:revision>3</cp:revision>
  <dcterms:created xsi:type="dcterms:W3CDTF">2021-12-20T20:26:00Z</dcterms:created>
  <dcterms:modified xsi:type="dcterms:W3CDTF">2021-12-20T20:28:00Z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0x0101008E69982C2C81CC488C72D623E395C25D</vt:lpwstr>
  </property>
</Properties>
</file>